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C8962C2"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B85B6A">
        <w:rPr>
          <w:rFonts w:eastAsia="Times New Roman"/>
          <w:b/>
          <w:noProof/>
          <w:sz w:val="24"/>
        </w:rPr>
        <w:t>4</w:t>
      </w:r>
      <w:r w:rsidR="00054F8C">
        <w:rPr>
          <w:rFonts w:eastAsia="Times New Roman"/>
          <w:b/>
          <w:noProof/>
          <w:sz w:val="24"/>
        </w:rPr>
        <w:t>-</w:t>
      </w:r>
      <w:r>
        <w:rPr>
          <w:rFonts w:eastAsia="Times New Roman"/>
          <w:b/>
          <w:noProof/>
          <w:sz w:val="24"/>
        </w:rPr>
        <w:t>e</w:t>
      </w:r>
      <w:r w:rsidR="00EF1BD6">
        <w:rPr>
          <w:rFonts w:eastAsia="Times New Roman"/>
          <w:b/>
          <w:noProof/>
          <w:sz w:val="24"/>
        </w:rPr>
        <w:t xml:space="preserve"> </w:t>
      </w:r>
      <w:r w:rsidR="00EF1BD6">
        <w:rPr>
          <w:rFonts w:eastAsia="Times New Roman"/>
          <w:b/>
          <w:noProof/>
          <w:sz w:val="24"/>
        </w:rPr>
        <w:tab/>
      </w:r>
      <w:r w:rsidR="00B85B6A">
        <w:rPr>
          <w:rFonts w:eastAsia="Times New Roman"/>
          <w:b/>
          <w:noProof/>
          <w:sz w:val="24"/>
        </w:rPr>
        <w:t>R4-220</w:t>
      </w:r>
    </w:p>
    <w:p w14:paraId="6ED4A0A5" w14:textId="77777777" w:rsidR="001E18A9" w:rsidRPr="00444A16" w:rsidRDefault="001E18A9" w:rsidP="001E18A9">
      <w:pPr>
        <w:pStyle w:val="af8"/>
        <w:rPr>
          <w:rFonts w:eastAsia="宋体"/>
          <w:lang w:eastAsia="zh-CN"/>
        </w:rPr>
      </w:pPr>
      <w:r>
        <w:rPr>
          <w:rFonts w:eastAsia="宋体"/>
          <w:lang w:eastAsia="zh-CN"/>
        </w:rPr>
        <w:t>Electronic Meeting, August 15 – 26, 2022</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31D88F58"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B06BD">
        <w:rPr>
          <w:rFonts w:ascii="Arial" w:hAnsi="Arial" w:cs="Arial"/>
          <w:sz w:val="22"/>
        </w:rPr>
        <w:t>O</w:t>
      </w:r>
      <w:r w:rsidR="00BB06BD">
        <w:rPr>
          <w:rFonts w:ascii="Arial" w:eastAsiaTheme="minorEastAsia" w:hAnsi="Arial" w:cs="Arial"/>
          <w:sz w:val="22"/>
          <w:lang w:eastAsia="en-US"/>
        </w:rPr>
        <w:t>n</w:t>
      </w:r>
      <w:r w:rsidR="00BB06BD" w:rsidRPr="00BB06BD">
        <w:rPr>
          <w:rFonts w:ascii="Arial" w:eastAsiaTheme="minorEastAsia" w:hAnsi="Arial" w:cs="Arial"/>
          <w:sz w:val="22"/>
          <w:lang w:eastAsia="en-US"/>
        </w:rPr>
        <w:t xml:space="preserve"> regulatory aspects</w:t>
      </w:r>
    </w:p>
    <w:p w14:paraId="0F34F3E0" w14:textId="13244A14" w:rsidR="004E69AA" w:rsidRPr="007377A4" w:rsidRDefault="004E69AA" w:rsidP="004E69AA">
      <w:pPr>
        <w:tabs>
          <w:tab w:val="left" w:pos="1985"/>
        </w:tabs>
        <w:jc w:val="both"/>
        <w:rPr>
          <w:rFonts w:ascii="Arial" w:hAnsi="Arial" w:cs="Arial"/>
          <w:sz w:val="22"/>
          <w:lang w:eastAsia="zh-CN"/>
        </w:rPr>
      </w:pPr>
      <w:r w:rsidRPr="007C2D23">
        <w:rPr>
          <w:rFonts w:ascii="Arial" w:hAnsi="Arial" w:cs="Arial"/>
          <w:b/>
          <w:sz w:val="22"/>
        </w:rPr>
        <w:t>Agen</w:t>
      </w:r>
      <w:r>
        <w:rPr>
          <w:rFonts w:ascii="Arial"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B6E75">
        <w:rPr>
          <w:rFonts w:ascii="Arial" w:hAnsi="Arial" w:cs="Arial"/>
          <w:sz w:val="22"/>
        </w:rPr>
        <w:t>11.1</w:t>
      </w:r>
      <w:r w:rsidR="001E18A9">
        <w:rPr>
          <w:rFonts w:ascii="Arial" w:hAnsi="Arial" w:cs="Arial"/>
          <w:sz w:val="22"/>
        </w:rPr>
        <w:t>3.3</w:t>
      </w:r>
      <w:bookmarkStart w:id="4" w:name="_GoBack"/>
      <w:bookmarkEnd w:id="4"/>
    </w:p>
    <w:p w14:paraId="7D7C8C39" w14:textId="7B021C17" w:rsidR="004E69AA" w:rsidRPr="00EC2290" w:rsidRDefault="004E69AA" w:rsidP="004E69AA">
      <w:pPr>
        <w:tabs>
          <w:tab w:val="left" w:pos="1985"/>
        </w:tabs>
        <w:jc w:val="both"/>
        <w:rPr>
          <w:rFonts w:ascii="Arial"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hAnsi="Arial" w:cs="Arial"/>
          <w:sz w:val="22"/>
          <w:lang w:eastAsia="zh-CN"/>
        </w:rPr>
        <w:t>Discussion</w:t>
      </w:r>
    </w:p>
    <w:p w14:paraId="2E1C5B39" w14:textId="77777777" w:rsidR="004E69AA" w:rsidRDefault="004E69AA" w:rsidP="000169FE">
      <w:pPr>
        <w:pStyle w:val="1"/>
        <w:numPr>
          <w:ilvl w:val="0"/>
          <w:numId w:val="2"/>
        </w:numPr>
      </w:pPr>
      <w:r w:rsidRPr="00B16EEF">
        <w:t>Introduction</w:t>
      </w:r>
    </w:p>
    <w:p w14:paraId="367FFB57" w14:textId="4C4364D0" w:rsidR="00174F84" w:rsidRDefault="00090A02" w:rsidP="00214F09">
      <w:r>
        <w:rPr>
          <w:lang w:eastAsia="zh-CN"/>
        </w:rPr>
        <w:t xml:space="preserve">At RAN#94-e, a </w:t>
      </w:r>
      <w:r w:rsidR="00712EC3">
        <w:rPr>
          <w:lang w:eastAsia="zh-CN"/>
        </w:rPr>
        <w:t>new SI on</w:t>
      </w:r>
      <w:r w:rsidR="00712EC3" w:rsidRPr="00712EC3">
        <w:rPr>
          <w:lang w:eastAsia="zh-CN"/>
        </w:rPr>
        <w:t xml:space="preserve"> evolution of NR duplex operation</w:t>
      </w:r>
      <w:r w:rsidR="00712EC3">
        <w:rPr>
          <w:lang w:eastAsia="zh-CN"/>
        </w:rPr>
        <w:t xml:space="preserve"> was approved [1], to </w:t>
      </w:r>
      <w:r w:rsidR="00712EC3">
        <w:t>identify and evaluate the potential enhancements to support duplex evolution for NR TDD in unpaired spectrum</w:t>
      </w:r>
      <w:r w:rsidR="008C596A">
        <w:t>.</w:t>
      </w:r>
      <w:r w:rsidR="00BB06BD">
        <w:t xml:space="preserve"> One of the RAN4 objectives is to study on the regulatory aspects.</w:t>
      </w:r>
    </w:p>
    <w:p w14:paraId="076787E6" w14:textId="77777777" w:rsidR="00E833C6" w:rsidRPr="00D8371F" w:rsidRDefault="00E833C6" w:rsidP="00E833C6">
      <w:pPr>
        <w:pStyle w:val="af9"/>
        <w:numPr>
          <w:ilvl w:val="0"/>
          <w:numId w:val="35"/>
        </w:numPr>
        <w:ind w:firstLine="400"/>
        <w:jc w:val="both"/>
        <w:textAlignment w:val="auto"/>
        <w:rPr>
          <w:highlight w:val="yellow"/>
          <w:lang w:val="en-US" w:eastAsia="zh-CN"/>
        </w:rPr>
      </w:pPr>
      <w:r w:rsidRPr="00D8371F">
        <w:rPr>
          <w:highlight w:val="yellow"/>
          <w:lang w:val="en-US"/>
        </w:rPr>
        <w:t>Summarize the regulatory aspects that have to be considered for deploying the identified duplex enhancements in TDD unpaired spectrum (RAN4).</w:t>
      </w:r>
    </w:p>
    <w:p w14:paraId="3F250422" w14:textId="4F19B699" w:rsidR="003B6E75" w:rsidRDefault="003B6E75" w:rsidP="00214F09">
      <w:pPr>
        <w:rPr>
          <w:lang w:eastAsia="zh-CN"/>
        </w:rPr>
      </w:pPr>
      <w:r>
        <w:t>In this co</w:t>
      </w:r>
      <w:r w:rsidR="00E833C6">
        <w:t>ntribution, we provide a discussion on the regulatory aspects.</w:t>
      </w:r>
    </w:p>
    <w:p w14:paraId="026158DF" w14:textId="0BE41561" w:rsidR="00975261" w:rsidRDefault="00975261" w:rsidP="00F83302">
      <w:pPr>
        <w:pStyle w:val="1"/>
        <w:numPr>
          <w:ilvl w:val="0"/>
          <w:numId w:val="2"/>
        </w:numPr>
      </w:pPr>
      <w:r>
        <w:t>Discussion</w:t>
      </w:r>
    </w:p>
    <w:p w14:paraId="6A2707B7" w14:textId="590AD41C" w:rsidR="007207C1" w:rsidRDefault="007207C1" w:rsidP="007207C1">
      <w:pPr>
        <w:rPr>
          <w:lang w:val="en-US" w:eastAsia="zh-CN"/>
        </w:rPr>
      </w:pPr>
      <w:r w:rsidRPr="006F13CE">
        <w:rPr>
          <w:lang w:val="en-US" w:eastAsia="zh-CN"/>
        </w:rPr>
        <w:t>The spectrum is issued with clearly defined duplex mode</w:t>
      </w:r>
      <w:r>
        <w:rPr>
          <w:lang w:val="en-US" w:eastAsia="zh-CN"/>
        </w:rPr>
        <w:t xml:space="preserve">, i.e. FDD or TDD, and probably SDL or SUL. </w:t>
      </w:r>
      <w:r w:rsidR="00CF77F0">
        <w:rPr>
          <w:lang w:val="en-US" w:eastAsia="zh-CN"/>
        </w:rPr>
        <w:t xml:space="preserve">In 3GPP specifications, it assumes the TDD base </w:t>
      </w:r>
      <w:r w:rsidR="00D82031">
        <w:rPr>
          <w:lang w:val="en-US" w:eastAsia="zh-CN"/>
        </w:rPr>
        <w:t xml:space="preserve">stations deployed in the same </w:t>
      </w:r>
      <w:r w:rsidR="00D82031">
        <w:t xml:space="preserve">geographical area and use the same or adjacent operating band, are synchronized. No additional co-existence requirements are covered for unsynchronized operation. Hence </w:t>
      </w:r>
      <w:r w:rsidR="003D25E4">
        <w:t>f</w:t>
      </w:r>
      <w:r w:rsidR="00D82031">
        <w:rPr>
          <w:lang w:val="en-US" w:eastAsia="zh-CN"/>
        </w:rPr>
        <w:t xml:space="preserve">or TDD </w:t>
      </w:r>
      <w:r w:rsidR="003D25E4">
        <w:rPr>
          <w:lang w:val="en-US" w:eastAsia="zh-CN"/>
        </w:rPr>
        <w:t xml:space="preserve">multiple operators’ networks, </w:t>
      </w:r>
      <w:r w:rsidR="00D82031">
        <w:rPr>
          <w:lang w:val="en-US" w:eastAsia="zh-CN"/>
        </w:rPr>
        <w:t>it requires synchronized operation</w:t>
      </w:r>
      <w:r w:rsidR="003D25E4">
        <w:rPr>
          <w:lang w:val="en-US" w:eastAsia="zh-CN"/>
        </w:rPr>
        <w:t xml:space="preserve"> for using the same or adjacent operation band.</w:t>
      </w:r>
    </w:p>
    <w:p w14:paraId="1F2F02A3" w14:textId="77777777" w:rsidR="00CF77F0" w:rsidRDefault="00CF77F0" w:rsidP="00CF77F0">
      <w:pPr>
        <w:pStyle w:val="NO"/>
        <w:pBdr>
          <w:top w:val="single" w:sz="8" w:space="1" w:color="000000"/>
          <w:left w:val="single" w:sz="8" w:space="4" w:color="000000"/>
          <w:bottom w:val="single" w:sz="8" w:space="1" w:color="000000"/>
          <w:right w:val="single" w:sz="8" w:space="4" w:color="000000"/>
        </w:pBdr>
        <w:rPr>
          <w:rFonts w:eastAsiaTheme="minorEastAsia"/>
        </w:rPr>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1F2E44C3" w14:textId="77777777" w:rsidR="003D25E4" w:rsidRDefault="003D25E4" w:rsidP="003D25E4">
      <w:pPr>
        <w:rPr>
          <w:lang w:val="en-US" w:eastAsia="zh-CN"/>
        </w:rPr>
      </w:pPr>
      <w:r w:rsidRPr="003D25E4">
        <w:rPr>
          <w:b/>
          <w:lang w:eastAsia="zh-CN"/>
        </w:rPr>
        <w:t>Observation</w:t>
      </w:r>
      <w:r>
        <w:rPr>
          <w:lang w:eastAsia="zh-CN"/>
        </w:rPr>
        <w:t xml:space="preserve"> 1: </w:t>
      </w:r>
      <w:r>
        <w:t>f</w:t>
      </w:r>
      <w:r>
        <w:rPr>
          <w:lang w:val="en-US" w:eastAsia="zh-CN"/>
        </w:rPr>
        <w:t>or TDD multiple operators’ networks, it requires synchronized operation for using the same or adjacent operation band.</w:t>
      </w:r>
    </w:p>
    <w:p w14:paraId="4D109F1E" w14:textId="15F63895" w:rsidR="003D25E4" w:rsidRDefault="003D25E4" w:rsidP="007207C1">
      <w:pPr>
        <w:rPr>
          <w:lang w:eastAsia="zh-CN"/>
        </w:rPr>
      </w:pPr>
      <w:r>
        <w:rPr>
          <w:rFonts w:hint="eastAsia"/>
          <w:lang w:val="en-US" w:eastAsia="zh-CN"/>
        </w:rPr>
        <w:t>T</w:t>
      </w:r>
      <w:r>
        <w:rPr>
          <w:lang w:val="en-US" w:eastAsia="zh-CN"/>
        </w:rPr>
        <w:t xml:space="preserve">o avoid </w:t>
      </w:r>
      <w:r w:rsidR="00352FC6">
        <w:rPr>
          <w:lang w:val="en-US" w:eastAsia="zh-CN"/>
        </w:rPr>
        <w:t>cross</w:t>
      </w:r>
      <w:r>
        <w:rPr>
          <w:lang w:val="en-US" w:eastAsia="zh-CN"/>
        </w:rPr>
        <w:t>-link interference situations, regulatory c</w:t>
      </w:r>
      <w:r w:rsidR="00352FC6">
        <w:rPr>
          <w:lang w:val="en-US" w:eastAsia="zh-CN"/>
        </w:rPr>
        <w:t xml:space="preserve">onditions at national level define the </w:t>
      </w:r>
      <w:r w:rsidR="00352FC6">
        <w:rPr>
          <w:lang w:eastAsia="zh-CN"/>
        </w:rPr>
        <w:t>c</w:t>
      </w:r>
      <w:r w:rsidR="00352FC6" w:rsidRPr="006F13CE">
        <w:rPr>
          <w:lang w:eastAsia="zh-CN"/>
        </w:rPr>
        <w:t>ommon TDD frame structures</w:t>
      </w:r>
      <w:r w:rsidR="00352FC6">
        <w:rPr>
          <w:lang w:eastAsia="zh-CN"/>
        </w:rPr>
        <w:t xml:space="preserve"> for multiple operators’ operation in the same band. </w:t>
      </w:r>
    </w:p>
    <w:p w14:paraId="74BE44AC" w14:textId="1C9785D6" w:rsidR="00D5548E" w:rsidRDefault="00CF630B" w:rsidP="00D5548E">
      <w:pPr>
        <w:rPr>
          <w:lang w:eastAsia="zh-CN"/>
        </w:rPr>
      </w:pPr>
      <w:r>
        <w:rPr>
          <w:lang w:eastAsia="zh-CN"/>
        </w:rPr>
        <w:t>For example in Europe, it s</w:t>
      </w:r>
      <w:r w:rsidRPr="00CF630B">
        <w:rPr>
          <w:lang w:eastAsia="zh-CN"/>
        </w:rPr>
        <w:t>trongly recommends synchronized operation between macro cellular networks (common phase clock reference and compatible frame structures)</w:t>
      </w:r>
      <w:r>
        <w:rPr>
          <w:lang w:eastAsia="zh-CN"/>
        </w:rPr>
        <w:t xml:space="preserve"> and </w:t>
      </w:r>
      <w:r w:rsidRPr="00CF630B">
        <w:rPr>
          <w:lang w:val="en-US" w:eastAsia="zh-CN"/>
        </w:rPr>
        <w:t>actual decisions are left at national level</w:t>
      </w:r>
      <w:r>
        <w:rPr>
          <w:lang w:val="en-US" w:eastAsia="zh-CN"/>
        </w:rPr>
        <w:t>.</w:t>
      </w:r>
      <w:r w:rsidR="00E77762">
        <w:rPr>
          <w:lang w:val="en-US" w:eastAsia="zh-CN"/>
        </w:rPr>
        <w:t xml:space="preserve"> And for border between countries two frame structures are recommended to ensure efficient use of spectrum: </w:t>
      </w:r>
      <w:r w:rsidR="00E77762" w:rsidRPr="00E77762">
        <w:rPr>
          <w:lang w:val="en-US" w:eastAsia="zh-CN"/>
        </w:rPr>
        <w:t>DDDSU and DDDDDDDSUU (if there is need to coexist with LTE-TDD)</w:t>
      </w:r>
      <w:r w:rsidR="00E77762">
        <w:rPr>
          <w:lang w:val="en-US" w:eastAsia="zh-CN"/>
        </w:rPr>
        <w:t xml:space="preserve">. In typical case, </w:t>
      </w:r>
      <w:r w:rsidR="00E77762" w:rsidRPr="00E77762">
        <w:rPr>
          <w:lang w:val="en-US" w:eastAsia="zh-CN"/>
        </w:rPr>
        <w:t>European administrations typically ask MNOs to agree on common frame structure for Macro cellular deployments proposing a default frame structure which will be adopted if no agreement is reached among MNOs</w:t>
      </w:r>
      <w:r w:rsidR="00E77762">
        <w:rPr>
          <w:lang w:val="en-US" w:eastAsia="zh-CN"/>
        </w:rPr>
        <w:t xml:space="preserve">. It results that European countries are either using </w:t>
      </w:r>
      <w:r w:rsidR="00E77762" w:rsidRPr="00E77762">
        <w:rPr>
          <w:lang w:val="en-US" w:eastAsia="zh-CN"/>
        </w:rPr>
        <w:t>DDDSU or DDDDDDDSUU</w:t>
      </w:r>
      <w:r w:rsidR="00D5548E">
        <w:rPr>
          <w:lang w:val="en-US" w:eastAsia="zh-CN"/>
        </w:rPr>
        <w:t xml:space="preserve"> for Macro operation. </w:t>
      </w:r>
      <w:r w:rsidR="00D5548E" w:rsidRPr="00D5548E">
        <w:rPr>
          <w:lang w:eastAsia="zh-CN"/>
        </w:rPr>
        <w:t>The obligation to adopt the common national TDD frame structure can possibly be rela</w:t>
      </w:r>
      <w:r w:rsidR="00D5548E">
        <w:rPr>
          <w:lang w:eastAsia="zh-CN"/>
        </w:rPr>
        <w:t>xed for indoor small cells</w:t>
      </w:r>
      <w:r w:rsidR="00D5548E" w:rsidRPr="00D5548E">
        <w:rPr>
          <w:lang w:eastAsia="zh-CN"/>
        </w:rPr>
        <w:t>, while obligations to avoid interference remain in place.</w:t>
      </w:r>
    </w:p>
    <w:p w14:paraId="34F49A4D" w14:textId="77777777" w:rsidR="00D5548E" w:rsidRPr="00D5548E" w:rsidRDefault="00D5548E" w:rsidP="00D5548E">
      <w:pPr>
        <w:pBdr>
          <w:top w:val="single" w:sz="8" w:space="1" w:color="000000"/>
          <w:left w:val="single" w:sz="8" w:space="4" w:color="000000"/>
          <w:bottom w:val="single" w:sz="8" w:space="1" w:color="000000"/>
          <w:right w:val="single" w:sz="8" w:space="4" w:color="000000"/>
        </w:pBdr>
        <w:rPr>
          <w:rFonts w:ascii="Arial" w:eastAsiaTheme="minorHAnsi" w:hAnsi="Arial" w:cs="Arial"/>
          <w:color w:val="000000"/>
          <w:lang w:val="en-US"/>
        </w:rPr>
      </w:pPr>
      <w:r w:rsidRPr="00D5548E">
        <w:rPr>
          <w:rFonts w:ascii="Arial" w:eastAsiaTheme="minorHAnsi" w:hAnsi="Arial" w:cs="Arial"/>
          <w:i/>
          <w:iCs/>
          <w:color w:val="000000"/>
          <w:lang w:val="en-US"/>
        </w:rPr>
        <w:t>“</w:t>
      </w:r>
      <w:proofErr w:type="spellStart"/>
      <w:r w:rsidRPr="00D5548E">
        <w:rPr>
          <w:rFonts w:ascii="Arial" w:eastAsiaTheme="minorHAnsi" w:hAnsi="Arial" w:cs="Arial"/>
          <w:i/>
          <w:iCs/>
          <w:color w:val="000000"/>
          <w:lang w:val="en-US"/>
        </w:rPr>
        <w:t>Unsynchronised</w:t>
      </w:r>
      <w:proofErr w:type="spellEnd"/>
      <w:r w:rsidRPr="00D5548E">
        <w:rPr>
          <w:rFonts w:ascii="Arial" w:eastAsiaTheme="minorHAnsi" w:hAnsi="Arial" w:cs="Arial"/>
          <w:i/>
          <w:iCs/>
          <w:color w:val="000000"/>
          <w:lang w:val="en-US"/>
        </w:rPr>
        <w:t xml:space="preserve"> Indoor BS networks and Macro-cellular networks: under specific assumptions, adjacent channel </w:t>
      </w:r>
      <w:proofErr w:type="spellStart"/>
      <w:r w:rsidRPr="00D5548E">
        <w:rPr>
          <w:rFonts w:ascii="Arial" w:eastAsiaTheme="minorHAnsi" w:hAnsi="Arial" w:cs="Arial"/>
          <w:i/>
          <w:iCs/>
          <w:color w:val="000000"/>
          <w:lang w:val="en-US"/>
        </w:rPr>
        <w:t>unsynchronised</w:t>
      </w:r>
      <w:proofErr w:type="spellEnd"/>
      <w:r w:rsidRPr="00D5548E">
        <w:rPr>
          <w:rFonts w:ascii="Arial" w:eastAsiaTheme="minorHAnsi" w:hAnsi="Arial" w:cs="Arial"/>
          <w:i/>
          <w:iCs/>
          <w:color w:val="000000"/>
          <w:lang w:val="en-US"/>
        </w:rPr>
        <w:t xml:space="preserve"> operation should be possible with careful installation4 of the indoor BSs. Such planning seems to be feasible in case of industrial – type of use case (e.g. smart factory indoor coverage). In the case of co-channel operation of Macro BSs and indoor BSs, the lack of out of block filtering on the Macro BS and on the indoor BS transmitters' sides will need to be considered.”</w:t>
      </w:r>
    </w:p>
    <w:p w14:paraId="26D055F7" w14:textId="7C746A6B" w:rsidR="00D5548E" w:rsidRPr="00D5548E" w:rsidRDefault="00D5548E" w:rsidP="00D5548E">
      <w:pPr>
        <w:pBdr>
          <w:top w:val="single" w:sz="8" w:space="1" w:color="000000"/>
          <w:left w:val="single" w:sz="8" w:space="4" w:color="000000"/>
          <w:bottom w:val="single" w:sz="8" w:space="1" w:color="000000"/>
          <w:right w:val="single" w:sz="8" w:space="4" w:color="000000"/>
        </w:pBdr>
        <w:rPr>
          <w:rFonts w:ascii="Arial" w:eastAsiaTheme="minorHAnsi" w:hAnsi="Arial" w:cs="Arial"/>
          <w:i/>
          <w:iCs/>
          <w:color w:val="000000"/>
          <w:lang w:val="en-US"/>
        </w:rPr>
      </w:pPr>
      <w:r w:rsidRPr="00D5548E">
        <w:rPr>
          <w:rFonts w:ascii="Arial" w:eastAsiaTheme="minorHAnsi" w:hAnsi="Arial" w:cs="Arial"/>
          <w:i/>
          <w:iCs/>
          <w:color w:val="000000"/>
          <w:lang w:val="en-US"/>
        </w:rPr>
        <w:lastRenderedPageBreak/>
        <w:t>4) For example</w:t>
      </w:r>
      <w:proofErr w:type="gramStart"/>
      <w:r w:rsidRPr="00D5548E">
        <w:rPr>
          <w:rFonts w:ascii="Arial" w:eastAsiaTheme="minorHAnsi" w:hAnsi="Arial" w:cs="Arial"/>
          <w:i/>
          <w:iCs/>
          <w:color w:val="000000"/>
          <w:lang w:val="en-US"/>
        </w:rPr>
        <w:t>, ”</w:t>
      </w:r>
      <w:proofErr w:type="gramEnd"/>
      <w:r w:rsidRPr="00D5548E">
        <w:rPr>
          <w:rFonts w:ascii="Arial" w:eastAsiaTheme="minorHAnsi" w:hAnsi="Arial" w:cs="Arial"/>
          <w:i/>
          <w:iCs/>
          <w:color w:val="000000"/>
          <w:lang w:val="en-US"/>
        </w:rPr>
        <w:t>careful installation” would include measures like ceiling-mounted installation, placement of indoor BS away from windows, additional shielding around buildings in the worst case. Such measures may be more appropriate for professional installations which seem less suitable for consumer-type of scenario (without further mitigation schemes implemented in the indoor BS).</w:t>
      </w:r>
      <w:r>
        <w:rPr>
          <w:rFonts w:ascii="Arial" w:eastAsiaTheme="minorHAnsi" w:hAnsi="Arial" w:cs="Arial"/>
          <w:i/>
          <w:iCs/>
          <w:color w:val="000000"/>
          <w:lang w:val="en-US"/>
        </w:rPr>
        <w:t xml:space="preserve">  </w:t>
      </w:r>
      <w:r w:rsidRPr="00D5548E">
        <w:rPr>
          <w:rFonts w:ascii="Arial" w:eastAsiaTheme="minorHAnsi" w:hAnsi="Arial" w:cs="Arial"/>
          <w:i/>
          <w:iCs/>
          <w:color w:val="000000"/>
          <w:lang w:val="en-US"/>
        </w:rPr>
        <w:t>Source: ECC Report 296</w:t>
      </w:r>
    </w:p>
    <w:p w14:paraId="5CCF4665" w14:textId="11494BC4" w:rsidR="00D5548E" w:rsidRDefault="00145431" w:rsidP="007207C1">
      <w:pPr>
        <w:rPr>
          <w:lang w:eastAsia="zh-CN"/>
        </w:rPr>
      </w:pPr>
      <w:r>
        <w:rPr>
          <w:lang w:eastAsia="zh-CN"/>
        </w:rPr>
        <w:t>In case the band is allocated to single operator, there may be no limitation on the frame structure and it is up to operator’s choice.</w:t>
      </w:r>
    </w:p>
    <w:p w14:paraId="5127F3CB" w14:textId="4353A99F" w:rsidR="001801B4" w:rsidRPr="00D5548E" w:rsidRDefault="001801B4" w:rsidP="007207C1">
      <w:pPr>
        <w:rPr>
          <w:lang w:eastAsia="zh-CN"/>
        </w:rPr>
      </w:pPr>
      <w:r w:rsidRPr="003D25E4">
        <w:rPr>
          <w:b/>
          <w:lang w:eastAsia="zh-CN"/>
        </w:rPr>
        <w:t>Observation</w:t>
      </w:r>
      <w:r>
        <w:rPr>
          <w:lang w:eastAsia="zh-CN"/>
        </w:rPr>
        <w:t xml:space="preserve"> 2: I</w:t>
      </w:r>
      <w:r w:rsidRPr="001801B4">
        <w:rPr>
          <w:lang w:eastAsia="zh-CN"/>
        </w:rPr>
        <w:t>t already possible today to use differe</w:t>
      </w:r>
      <w:r>
        <w:rPr>
          <w:lang w:eastAsia="zh-CN"/>
        </w:rPr>
        <w:t>nt TDD frame structure</w:t>
      </w:r>
      <w:r w:rsidRPr="001801B4">
        <w:rPr>
          <w:lang w:eastAsia="zh-CN"/>
        </w:rPr>
        <w:t xml:space="preserve"> for isolated deployment, e.g. isolated indoor factory, as long as obligation to avoid interference is guaranteed</w:t>
      </w:r>
      <w:r>
        <w:rPr>
          <w:lang w:eastAsia="zh-CN"/>
        </w:rPr>
        <w:t>.</w:t>
      </w:r>
    </w:p>
    <w:p w14:paraId="2EE3DCED" w14:textId="4A188061" w:rsidR="00A362FD" w:rsidRPr="00BB06BD" w:rsidRDefault="00145431" w:rsidP="00D8371F">
      <w:pPr>
        <w:rPr>
          <w:lang w:val="en-US" w:eastAsia="zh-CN"/>
        </w:rPr>
      </w:pPr>
      <w:r w:rsidRPr="003D25E4">
        <w:rPr>
          <w:b/>
          <w:lang w:eastAsia="zh-CN"/>
        </w:rPr>
        <w:t>Observation</w:t>
      </w:r>
      <w:r>
        <w:rPr>
          <w:lang w:eastAsia="zh-CN"/>
        </w:rPr>
        <w:t xml:space="preserve"> </w:t>
      </w:r>
      <w:r w:rsidR="001801B4">
        <w:rPr>
          <w:lang w:eastAsia="zh-CN"/>
        </w:rPr>
        <w:t>3</w:t>
      </w:r>
      <w:r>
        <w:rPr>
          <w:lang w:eastAsia="zh-CN"/>
        </w:rPr>
        <w:t>:</w:t>
      </w:r>
      <w:r w:rsidR="001801B4">
        <w:rPr>
          <w:lang w:eastAsia="zh-CN"/>
        </w:rPr>
        <w:t xml:space="preserve"> </w:t>
      </w:r>
      <w:r w:rsidR="001801B4">
        <w:t>f</w:t>
      </w:r>
      <w:r w:rsidR="001801B4">
        <w:rPr>
          <w:lang w:val="en-US" w:eastAsia="zh-CN"/>
        </w:rPr>
        <w:t xml:space="preserve">or single operator’s TDD network, </w:t>
      </w:r>
      <w:r w:rsidR="001801B4">
        <w:rPr>
          <w:lang w:eastAsia="zh-CN"/>
        </w:rPr>
        <w:t>there may be no limitation on the frame structure and it is up to operator’s choice.</w:t>
      </w:r>
    </w:p>
    <w:bookmarkEnd w:id="0"/>
    <w:bookmarkEnd w:id="1"/>
    <w:bookmarkEnd w:id="2"/>
    <w:bookmarkEnd w:id="3"/>
    <w:p w14:paraId="7A9B05B7" w14:textId="69125871" w:rsidR="00341F88" w:rsidRDefault="005F295C" w:rsidP="005F295C">
      <w:pPr>
        <w:pStyle w:val="1"/>
        <w:numPr>
          <w:ilvl w:val="0"/>
          <w:numId w:val="2"/>
        </w:numPr>
      </w:pPr>
      <w:r>
        <w:t>Conclusion</w:t>
      </w:r>
    </w:p>
    <w:p w14:paraId="2A68F1F0" w14:textId="0CC621FC" w:rsidR="00480C4D" w:rsidRDefault="00587614" w:rsidP="00480C4D">
      <w:pPr>
        <w:rPr>
          <w:lang w:eastAsia="zh-CN"/>
        </w:rPr>
      </w:pPr>
      <w:r>
        <w:rPr>
          <w:rFonts w:hint="eastAsia"/>
          <w:lang w:eastAsia="zh-CN"/>
        </w:rPr>
        <w:t>I</w:t>
      </w:r>
      <w:r>
        <w:rPr>
          <w:lang w:eastAsia="zh-CN"/>
        </w:rPr>
        <w:t xml:space="preserve">n </w:t>
      </w:r>
      <w:r w:rsidR="001801B4">
        <w:rPr>
          <w:lang w:eastAsia="zh-CN"/>
        </w:rPr>
        <w:t xml:space="preserve">the contribution, we provide a discussion </w:t>
      </w:r>
      <w:r>
        <w:rPr>
          <w:lang w:eastAsia="zh-CN"/>
        </w:rPr>
        <w:t xml:space="preserve">on </w:t>
      </w:r>
      <w:r w:rsidR="001801B4">
        <w:t>the regulatory aspects</w:t>
      </w:r>
      <w:r w:rsidR="001801B4">
        <w:rPr>
          <w:lang w:eastAsia="zh-CN"/>
        </w:rPr>
        <w:t xml:space="preserve"> for</w:t>
      </w:r>
      <w:r>
        <w:rPr>
          <w:lang w:eastAsia="zh-CN"/>
        </w:rPr>
        <w:t xml:space="preserve"> </w:t>
      </w:r>
      <w:r w:rsidRPr="00587614">
        <w:rPr>
          <w:lang w:eastAsia="zh-CN"/>
        </w:rPr>
        <w:t>evolution of NR duplex operation</w:t>
      </w:r>
      <w:r w:rsidR="001801B4">
        <w:rPr>
          <w:lang w:eastAsia="zh-CN"/>
        </w:rPr>
        <w:t xml:space="preserve"> SI.</w:t>
      </w:r>
    </w:p>
    <w:p w14:paraId="2E40C375" w14:textId="77777777" w:rsidR="001801B4" w:rsidRDefault="001801B4" w:rsidP="001801B4">
      <w:pPr>
        <w:rPr>
          <w:lang w:val="en-US" w:eastAsia="zh-CN"/>
        </w:rPr>
      </w:pPr>
      <w:r w:rsidRPr="003D25E4">
        <w:rPr>
          <w:b/>
          <w:lang w:eastAsia="zh-CN"/>
        </w:rPr>
        <w:t>Observation</w:t>
      </w:r>
      <w:r>
        <w:rPr>
          <w:lang w:eastAsia="zh-CN"/>
        </w:rPr>
        <w:t xml:space="preserve"> 1: </w:t>
      </w:r>
      <w:r>
        <w:t>f</w:t>
      </w:r>
      <w:r>
        <w:rPr>
          <w:lang w:val="en-US" w:eastAsia="zh-CN"/>
        </w:rPr>
        <w:t>or TDD multiple operators’ networks, it requires synchronized operation for using the same or adjacent operation band.</w:t>
      </w:r>
    </w:p>
    <w:p w14:paraId="5E85945E" w14:textId="77777777" w:rsidR="001801B4" w:rsidRPr="00D5548E" w:rsidRDefault="001801B4" w:rsidP="001801B4">
      <w:pPr>
        <w:rPr>
          <w:lang w:eastAsia="zh-CN"/>
        </w:rPr>
      </w:pPr>
      <w:r w:rsidRPr="003D25E4">
        <w:rPr>
          <w:b/>
          <w:lang w:eastAsia="zh-CN"/>
        </w:rPr>
        <w:t>Observation</w:t>
      </w:r>
      <w:r>
        <w:rPr>
          <w:lang w:eastAsia="zh-CN"/>
        </w:rPr>
        <w:t xml:space="preserve"> 2: I</w:t>
      </w:r>
      <w:r w:rsidRPr="001801B4">
        <w:rPr>
          <w:lang w:eastAsia="zh-CN"/>
        </w:rPr>
        <w:t>t already possible today to use differe</w:t>
      </w:r>
      <w:r>
        <w:rPr>
          <w:lang w:eastAsia="zh-CN"/>
        </w:rPr>
        <w:t>nt TDD frame structure</w:t>
      </w:r>
      <w:r w:rsidRPr="001801B4">
        <w:rPr>
          <w:lang w:eastAsia="zh-CN"/>
        </w:rPr>
        <w:t xml:space="preserve"> for isolated deployment, e.g. isolated indoor factory, as long as obligation to avoid interference is guaranteed</w:t>
      </w:r>
      <w:r>
        <w:rPr>
          <w:lang w:eastAsia="zh-CN"/>
        </w:rPr>
        <w:t>.</w:t>
      </w:r>
    </w:p>
    <w:p w14:paraId="4599B14A" w14:textId="77777777" w:rsidR="001801B4" w:rsidRPr="00BB06BD" w:rsidRDefault="001801B4" w:rsidP="001801B4">
      <w:pPr>
        <w:rPr>
          <w:lang w:val="en-US" w:eastAsia="zh-CN"/>
        </w:rPr>
      </w:pPr>
      <w:r w:rsidRPr="003D25E4">
        <w:rPr>
          <w:b/>
          <w:lang w:eastAsia="zh-CN"/>
        </w:rPr>
        <w:t>Observation</w:t>
      </w:r>
      <w:r>
        <w:rPr>
          <w:lang w:eastAsia="zh-CN"/>
        </w:rPr>
        <w:t xml:space="preserve"> 3: </w:t>
      </w:r>
      <w:r>
        <w:t>f</w:t>
      </w:r>
      <w:r>
        <w:rPr>
          <w:lang w:val="en-US" w:eastAsia="zh-CN"/>
        </w:rPr>
        <w:t xml:space="preserve">or single operator’s TDD network, </w:t>
      </w:r>
      <w:r>
        <w:rPr>
          <w:lang w:eastAsia="zh-CN"/>
        </w:rPr>
        <w:t>there may be no limitation on the frame structure and it is up to operator’s choice.</w:t>
      </w:r>
    </w:p>
    <w:p w14:paraId="36451363" w14:textId="45C30A33" w:rsidR="00712EC3" w:rsidRDefault="00712EC3" w:rsidP="00712EC3">
      <w:pPr>
        <w:pStyle w:val="1"/>
        <w:numPr>
          <w:ilvl w:val="0"/>
          <w:numId w:val="2"/>
        </w:numPr>
      </w:pPr>
      <w:r>
        <w:t>Reference</w:t>
      </w:r>
    </w:p>
    <w:p w14:paraId="1CADDEDF" w14:textId="1C8BBCDA" w:rsidR="00712EC3" w:rsidRDefault="00712EC3" w:rsidP="00712EC3">
      <w:pPr>
        <w:pStyle w:val="References"/>
        <w:numPr>
          <w:ilvl w:val="0"/>
          <w:numId w:val="31"/>
        </w:numPr>
        <w:spacing w:beforeLines="30" w:before="72" w:after="0" w:line="60" w:lineRule="atLeast"/>
        <w:jc w:val="both"/>
        <w:rPr>
          <w:lang w:eastAsia="zh-CN"/>
        </w:rPr>
      </w:pPr>
      <w:r w:rsidRPr="00712EC3">
        <w:rPr>
          <w:lang w:eastAsia="zh-CN"/>
        </w:rPr>
        <w:t>RP-213591</w:t>
      </w:r>
      <w:r>
        <w:rPr>
          <w:rFonts w:hint="eastAsia"/>
          <w:lang w:eastAsia="zh-CN"/>
        </w:rPr>
        <w:t>,</w:t>
      </w:r>
      <w:r>
        <w:rPr>
          <w:lang w:eastAsia="zh-CN"/>
        </w:rPr>
        <w:t xml:space="preserve"> “</w:t>
      </w:r>
      <w:r w:rsidRPr="00712EC3">
        <w:rPr>
          <w:lang w:eastAsia="zh-CN"/>
        </w:rPr>
        <w:t>New SI: Study on evolution of NR duplex operation</w:t>
      </w:r>
      <w:r>
        <w:rPr>
          <w:lang w:eastAsia="zh-CN"/>
        </w:rPr>
        <w:t xml:space="preserve">”, </w:t>
      </w:r>
      <w:r w:rsidRPr="00712EC3">
        <w:rPr>
          <w:lang w:eastAsia="zh-CN"/>
        </w:rPr>
        <w:t>CMCC</w:t>
      </w:r>
    </w:p>
    <w:p w14:paraId="76B6DF82" w14:textId="5BFCAC9E" w:rsidR="00712EC3" w:rsidRPr="00480C4D" w:rsidRDefault="00712EC3" w:rsidP="001801B4">
      <w:pPr>
        <w:pStyle w:val="References"/>
        <w:numPr>
          <w:ilvl w:val="0"/>
          <w:numId w:val="31"/>
        </w:numPr>
        <w:spacing w:beforeLines="30" w:before="72" w:after="0" w:line="60" w:lineRule="atLeast"/>
        <w:jc w:val="both"/>
        <w:rPr>
          <w:lang w:eastAsia="zh-CN"/>
        </w:rPr>
      </w:pPr>
      <w:r w:rsidRPr="00FC656F">
        <w:rPr>
          <w:lang w:eastAsia="zh-CN"/>
        </w:rPr>
        <w:t>“RAN1 Chair’s Notes,” 3GPP TSG RAN WG1#109-e, May 9</w:t>
      </w:r>
      <w:r w:rsidRPr="00FC656F">
        <w:rPr>
          <w:vertAlign w:val="superscript"/>
          <w:lang w:eastAsia="zh-CN"/>
        </w:rPr>
        <w:t>th</w:t>
      </w:r>
      <w:r w:rsidRPr="00FC656F">
        <w:rPr>
          <w:lang w:eastAsia="zh-CN"/>
        </w:rPr>
        <w:t xml:space="preserve"> – May 20</w:t>
      </w:r>
      <w:r w:rsidRPr="00FC656F">
        <w:rPr>
          <w:vertAlign w:val="superscript"/>
          <w:lang w:eastAsia="zh-CN"/>
        </w:rPr>
        <w:t>th</w:t>
      </w:r>
      <w:r w:rsidRPr="00FC656F">
        <w:rPr>
          <w:lang w:eastAsia="zh-CN"/>
        </w:rPr>
        <w:t>, 2022.</w:t>
      </w:r>
    </w:p>
    <w:sectPr w:rsidR="00712EC3" w:rsidRPr="00480C4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C811F" w14:textId="77777777" w:rsidR="00702588" w:rsidRDefault="00702588">
      <w:r>
        <w:separator/>
      </w:r>
    </w:p>
  </w:endnote>
  <w:endnote w:type="continuationSeparator" w:id="0">
    <w:p w14:paraId="49AD34B5" w14:textId="77777777" w:rsidR="00702588" w:rsidRDefault="0070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88B45" w14:textId="77777777" w:rsidR="00702588" w:rsidRDefault="00702588">
      <w:r>
        <w:separator/>
      </w:r>
    </w:p>
  </w:footnote>
  <w:footnote w:type="continuationSeparator" w:id="0">
    <w:p w14:paraId="5846058D" w14:textId="77777777" w:rsidR="00702588" w:rsidRDefault="007025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1" w15:restartNumberingAfterBreak="0">
    <w:nsid w:val="0A2E3FFB"/>
    <w:multiLevelType w:val="hybridMultilevel"/>
    <w:tmpl w:val="9FBA1798"/>
    <w:lvl w:ilvl="0" w:tplc="9A7AE9E0">
      <w:start w:val="1"/>
      <w:numFmt w:val="bullet"/>
      <w:lvlText w:val=""/>
      <w:lvlJc w:val="left"/>
      <w:pPr>
        <w:tabs>
          <w:tab w:val="num" w:pos="720"/>
        </w:tabs>
        <w:ind w:left="720" w:hanging="360"/>
      </w:pPr>
      <w:rPr>
        <w:rFonts w:ascii="Wingdings" w:hAnsi="Wingdings" w:hint="default"/>
      </w:rPr>
    </w:lvl>
    <w:lvl w:ilvl="1" w:tplc="FE687BE4">
      <w:numFmt w:val="bullet"/>
      <w:lvlText w:val=""/>
      <w:lvlJc w:val="left"/>
      <w:pPr>
        <w:tabs>
          <w:tab w:val="num" w:pos="1440"/>
        </w:tabs>
        <w:ind w:left="1440" w:hanging="360"/>
      </w:pPr>
      <w:rPr>
        <w:rFonts w:ascii="Wingdings" w:hAnsi="Wingdings" w:hint="default"/>
      </w:rPr>
    </w:lvl>
    <w:lvl w:ilvl="2" w:tplc="520C207C">
      <w:numFmt w:val="bullet"/>
      <w:lvlText w:val=""/>
      <w:lvlJc w:val="left"/>
      <w:pPr>
        <w:tabs>
          <w:tab w:val="num" w:pos="2160"/>
        </w:tabs>
        <w:ind w:left="2160" w:hanging="360"/>
      </w:pPr>
      <w:rPr>
        <w:rFonts w:ascii="Wingdings" w:hAnsi="Wingdings" w:hint="default"/>
      </w:rPr>
    </w:lvl>
    <w:lvl w:ilvl="3" w:tplc="C164D33A" w:tentative="1">
      <w:start w:val="1"/>
      <w:numFmt w:val="bullet"/>
      <w:lvlText w:val=""/>
      <w:lvlJc w:val="left"/>
      <w:pPr>
        <w:tabs>
          <w:tab w:val="num" w:pos="2880"/>
        </w:tabs>
        <w:ind w:left="2880" w:hanging="360"/>
      </w:pPr>
      <w:rPr>
        <w:rFonts w:ascii="Wingdings" w:hAnsi="Wingdings" w:hint="default"/>
      </w:rPr>
    </w:lvl>
    <w:lvl w:ilvl="4" w:tplc="0BA86BA6" w:tentative="1">
      <w:start w:val="1"/>
      <w:numFmt w:val="bullet"/>
      <w:lvlText w:val=""/>
      <w:lvlJc w:val="left"/>
      <w:pPr>
        <w:tabs>
          <w:tab w:val="num" w:pos="3600"/>
        </w:tabs>
        <w:ind w:left="3600" w:hanging="360"/>
      </w:pPr>
      <w:rPr>
        <w:rFonts w:ascii="Wingdings" w:hAnsi="Wingdings" w:hint="default"/>
      </w:rPr>
    </w:lvl>
    <w:lvl w:ilvl="5" w:tplc="18DAA6F6" w:tentative="1">
      <w:start w:val="1"/>
      <w:numFmt w:val="bullet"/>
      <w:lvlText w:val=""/>
      <w:lvlJc w:val="left"/>
      <w:pPr>
        <w:tabs>
          <w:tab w:val="num" w:pos="4320"/>
        </w:tabs>
        <w:ind w:left="4320" w:hanging="360"/>
      </w:pPr>
      <w:rPr>
        <w:rFonts w:ascii="Wingdings" w:hAnsi="Wingdings" w:hint="default"/>
      </w:rPr>
    </w:lvl>
    <w:lvl w:ilvl="6" w:tplc="BEA672C6" w:tentative="1">
      <w:start w:val="1"/>
      <w:numFmt w:val="bullet"/>
      <w:lvlText w:val=""/>
      <w:lvlJc w:val="left"/>
      <w:pPr>
        <w:tabs>
          <w:tab w:val="num" w:pos="5040"/>
        </w:tabs>
        <w:ind w:left="5040" w:hanging="360"/>
      </w:pPr>
      <w:rPr>
        <w:rFonts w:ascii="Wingdings" w:hAnsi="Wingdings" w:hint="default"/>
      </w:rPr>
    </w:lvl>
    <w:lvl w:ilvl="7" w:tplc="A9EAE576" w:tentative="1">
      <w:start w:val="1"/>
      <w:numFmt w:val="bullet"/>
      <w:lvlText w:val=""/>
      <w:lvlJc w:val="left"/>
      <w:pPr>
        <w:tabs>
          <w:tab w:val="num" w:pos="5760"/>
        </w:tabs>
        <w:ind w:left="5760" w:hanging="360"/>
      </w:pPr>
      <w:rPr>
        <w:rFonts w:ascii="Wingdings" w:hAnsi="Wingdings" w:hint="default"/>
      </w:rPr>
    </w:lvl>
    <w:lvl w:ilvl="8" w:tplc="78B2B32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1"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0"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647488"/>
    <w:multiLevelType w:val="hybridMultilevel"/>
    <w:tmpl w:val="AE8CA87C"/>
    <w:lvl w:ilvl="0" w:tplc="0C72C64A">
      <w:start w:val="1"/>
      <w:numFmt w:val="bullet"/>
      <w:lvlText w:val=""/>
      <w:lvlJc w:val="left"/>
      <w:pPr>
        <w:tabs>
          <w:tab w:val="num" w:pos="720"/>
        </w:tabs>
        <w:ind w:left="720" w:hanging="360"/>
      </w:pPr>
      <w:rPr>
        <w:rFonts w:ascii="Wingdings" w:hAnsi="Wingdings" w:hint="default"/>
      </w:rPr>
    </w:lvl>
    <w:lvl w:ilvl="1" w:tplc="8F0E7DB8">
      <w:numFmt w:val="bullet"/>
      <w:lvlText w:val=""/>
      <w:lvlJc w:val="left"/>
      <w:pPr>
        <w:tabs>
          <w:tab w:val="num" w:pos="1440"/>
        </w:tabs>
        <w:ind w:left="1440" w:hanging="360"/>
      </w:pPr>
      <w:rPr>
        <w:rFonts w:ascii="Wingdings" w:hAnsi="Wingdings" w:hint="default"/>
      </w:rPr>
    </w:lvl>
    <w:lvl w:ilvl="2" w:tplc="8F0070D8">
      <w:numFmt w:val="bullet"/>
      <w:lvlText w:val=""/>
      <w:lvlJc w:val="left"/>
      <w:pPr>
        <w:tabs>
          <w:tab w:val="num" w:pos="2160"/>
        </w:tabs>
        <w:ind w:left="2160" w:hanging="360"/>
      </w:pPr>
      <w:rPr>
        <w:rFonts w:ascii="Wingdings" w:hAnsi="Wingdings" w:hint="default"/>
      </w:rPr>
    </w:lvl>
    <w:lvl w:ilvl="3" w:tplc="8176F5FA" w:tentative="1">
      <w:start w:val="1"/>
      <w:numFmt w:val="bullet"/>
      <w:lvlText w:val=""/>
      <w:lvlJc w:val="left"/>
      <w:pPr>
        <w:tabs>
          <w:tab w:val="num" w:pos="2880"/>
        </w:tabs>
        <w:ind w:left="2880" w:hanging="360"/>
      </w:pPr>
      <w:rPr>
        <w:rFonts w:ascii="Wingdings" w:hAnsi="Wingdings" w:hint="default"/>
      </w:rPr>
    </w:lvl>
    <w:lvl w:ilvl="4" w:tplc="407ADA6E" w:tentative="1">
      <w:start w:val="1"/>
      <w:numFmt w:val="bullet"/>
      <w:lvlText w:val=""/>
      <w:lvlJc w:val="left"/>
      <w:pPr>
        <w:tabs>
          <w:tab w:val="num" w:pos="3600"/>
        </w:tabs>
        <w:ind w:left="3600" w:hanging="360"/>
      </w:pPr>
      <w:rPr>
        <w:rFonts w:ascii="Wingdings" w:hAnsi="Wingdings" w:hint="default"/>
      </w:rPr>
    </w:lvl>
    <w:lvl w:ilvl="5" w:tplc="63948524" w:tentative="1">
      <w:start w:val="1"/>
      <w:numFmt w:val="bullet"/>
      <w:lvlText w:val=""/>
      <w:lvlJc w:val="left"/>
      <w:pPr>
        <w:tabs>
          <w:tab w:val="num" w:pos="4320"/>
        </w:tabs>
        <w:ind w:left="4320" w:hanging="360"/>
      </w:pPr>
      <w:rPr>
        <w:rFonts w:ascii="Wingdings" w:hAnsi="Wingdings" w:hint="default"/>
      </w:rPr>
    </w:lvl>
    <w:lvl w:ilvl="6" w:tplc="3FF2793C" w:tentative="1">
      <w:start w:val="1"/>
      <w:numFmt w:val="bullet"/>
      <w:lvlText w:val=""/>
      <w:lvlJc w:val="left"/>
      <w:pPr>
        <w:tabs>
          <w:tab w:val="num" w:pos="5040"/>
        </w:tabs>
        <w:ind w:left="5040" w:hanging="360"/>
      </w:pPr>
      <w:rPr>
        <w:rFonts w:ascii="Wingdings" w:hAnsi="Wingdings" w:hint="default"/>
      </w:rPr>
    </w:lvl>
    <w:lvl w:ilvl="7" w:tplc="4DD0B994" w:tentative="1">
      <w:start w:val="1"/>
      <w:numFmt w:val="bullet"/>
      <w:lvlText w:val=""/>
      <w:lvlJc w:val="left"/>
      <w:pPr>
        <w:tabs>
          <w:tab w:val="num" w:pos="5760"/>
        </w:tabs>
        <w:ind w:left="5760" w:hanging="360"/>
      </w:pPr>
      <w:rPr>
        <w:rFonts w:ascii="Wingdings" w:hAnsi="Wingdings" w:hint="default"/>
      </w:rPr>
    </w:lvl>
    <w:lvl w:ilvl="8" w:tplc="0DD8698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1A2614F"/>
    <w:multiLevelType w:val="hybridMultilevel"/>
    <w:tmpl w:val="C05866CE"/>
    <w:lvl w:ilvl="0" w:tplc="8B9085CA">
      <w:start w:val="1"/>
      <w:numFmt w:val="bullet"/>
      <w:lvlText w:val=""/>
      <w:lvlJc w:val="left"/>
      <w:pPr>
        <w:ind w:left="720" w:hanging="360"/>
      </w:pPr>
      <w:rPr>
        <w:rFonts w:ascii="Symbol" w:hAnsi="Symbol" w:hint="default"/>
      </w:rPr>
    </w:lvl>
    <w:lvl w:ilvl="1" w:tplc="1750A626">
      <w:start w:val="1"/>
      <w:numFmt w:val="bullet"/>
      <w:lvlText w:val="o"/>
      <w:lvlJc w:val="left"/>
      <w:pPr>
        <w:ind w:left="1440" w:hanging="360"/>
      </w:pPr>
      <w:rPr>
        <w:rFonts w:ascii="Courier New" w:hAnsi="Courier New" w:cs="Courier New" w:hint="default"/>
      </w:rPr>
    </w:lvl>
    <w:lvl w:ilvl="2" w:tplc="A838E478">
      <w:start w:val="1"/>
      <w:numFmt w:val="bullet"/>
      <w:lvlText w:val=""/>
      <w:lvlJc w:val="left"/>
      <w:pPr>
        <w:ind w:left="2160" w:hanging="360"/>
      </w:pPr>
      <w:rPr>
        <w:rFonts w:ascii="Wingdings" w:hAnsi="Wingdings" w:hint="default"/>
      </w:rPr>
    </w:lvl>
    <w:lvl w:ilvl="3" w:tplc="5B2AC46C">
      <w:start w:val="1"/>
      <w:numFmt w:val="bullet"/>
      <w:lvlText w:val=""/>
      <w:lvlJc w:val="left"/>
      <w:pPr>
        <w:ind w:left="2880" w:hanging="360"/>
      </w:pPr>
      <w:rPr>
        <w:rFonts w:ascii="Symbol" w:hAnsi="Symbol" w:hint="default"/>
      </w:rPr>
    </w:lvl>
    <w:lvl w:ilvl="4" w:tplc="107CE02A">
      <w:start w:val="1"/>
      <w:numFmt w:val="bullet"/>
      <w:lvlText w:val="o"/>
      <w:lvlJc w:val="left"/>
      <w:pPr>
        <w:ind w:left="3600" w:hanging="360"/>
      </w:pPr>
      <w:rPr>
        <w:rFonts w:ascii="Courier New" w:hAnsi="Courier New" w:cs="Courier New" w:hint="default"/>
      </w:rPr>
    </w:lvl>
    <w:lvl w:ilvl="5" w:tplc="56C8CEDA">
      <w:start w:val="1"/>
      <w:numFmt w:val="bullet"/>
      <w:lvlText w:val=""/>
      <w:lvlJc w:val="left"/>
      <w:pPr>
        <w:ind w:left="4320" w:hanging="360"/>
      </w:pPr>
      <w:rPr>
        <w:rFonts w:ascii="Wingdings" w:hAnsi="Wingdings" w:hint="default"/>
      </w:rPr>
    </w:lvl>
    <w:lvl w:ilvl="6" w:tplc="0980DCB8">
      <w:start w:val="1"/>
      <w:numFmt w:val="bullet"/>
      <w:lvlText w:val=""/>
      <w:lvlJc w:val="left"/>
      <w:pPr>
        <w:ind w:left="5040" w:hanging="360"/>
      </w:pPr>
      <w:rPr>
        <w:rFonts w:ascii="Symbol" w:hAnsi="Symbol" w:hint="default"/>
      </w:rPr>
    </w:lvl>
    <w:lvl w:ilvl="7" w:tplc="34B0B78C">
      <w:start w:val="1"/>
      <w:numFmt w:val="bullet"/>
      <w:lvlText w:val="o"/>
      <w:lvlJc w:val="left"/>
      <w:pPr>
        <w:ind w:left="5760" w:hanging="360"/>
      </w:pPr>
      <w:rPr>
        <w:rFonts w:ascii="Courier New" w:hAnsi="Courier New" w:cs="Courier New" w:hint="default"/>
      </w:rPr>
    </w:lvl>
    <w:lvl w:ilvl="8" w:tplc="13E46F58">
      <w:start w:val="1"/>
      <w:numFmt w:val="bullet"/>
      <w:lvlText w:val=""/>
      <w:lvlJc w:val="left"/>
      <w:pPr>
        <w:ind w:left="6480" w:hanging="360"/>
      </w:pPr>
      <w:rPr>
        <w:rFonts w:ascii="Wingdings" w:hAnsi="Wingdings" w:hint="default"/>
      </w:rPr>
    </w:lvl>
  </w:abstractNum>
  <w:abstractNum w:abstractNumId="34"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8"/>
  </w:num>
  <w:num w:numId="4">
    <w:abstractNumId w:val="39"/>
  </w:num>
  <w:num w:numId="5">
    <w:abstractNumId w:val="22"/>
  </w:num>
  <w:num w:numId="6">
    <w:abstractNumId w:val="17"/>
  </w:num>
  <w:num w:numId="7">
    <w:abstractNumId w:val="2"/>
  </w:num>
  <w:num w:numId="8">
    <w:abstractNumId w:val="3"/>
  </w:num>
  <w:num w:numId="9">
    <w:abstractNumId w:val="13"/>
  </w:num>
  <w:num w:numId="10">
    <w:abstractNumId w:val="40"/>
  </w:num>
  <w:num w:numId="11">
    <w:abstractNumId w:val="24"/>
  </w:num>
  <w:num w:numId="12">
    <w:abstractNumId w:val="16"/>
  </w:num>
  <w:num w:numId="13">
    <w:abstractNumId w:val="36"/>
  </w:num>
  <w:num w:numId="14">
    <w:abstractNumId w:val="9"/>
  </w:num>
  <w:num w:numId="15">
    <w:abstractNumId w:val="25"/>
  </w:num>
  <w:num w:numId="16">
    <w:abstractNumId w:val="35"/>
  </w:num>
  <w:num w:numId="17">
    <w:abstractNumId w:val="4"/>
  </w:num>
  <w:num w:numId="18">
    <w:abstractNumId w:val="38"/>
  </w:num>
  <w:num w:numId="19">
    <w:abstractNumId w:val="30"/>
  </w:num>
  <w:num w:numId="20">
    <w:abstractNumId w:val="20"/>
  </w:num>
  <w:num w:numId="21">
    <w:abstractNumId w:val="12"/>
  </w:num>
  <w:num w:numId="22">
    <w:abstractNumId w:val="19"/>
  </w:num>
  <w:num w:numId="23">
    <w:abstractNumId w:val="37"/>
  </w:num>
  <w:num w:numId="24">
    <w:abstractNumId w:val="6"/>
  </w:num>
  <w:num w:numId="25">
    <w:abstractNumId w:val="34"/>
  </w:num>
  <w:num w:numId="26">
    <w:abstractNumId w:val="18"/>
  </w:num>
  <w:num w:numId="27">
    <w:abstractNumId w:val="27"/>
  </w:num>
  <w:num w:numId="28">
    <w:abstractNumId w:val="11"/>
  </w:num>
  <w:num w:numId="29">
    <w:abstractNumId w:val="21"/>
  </w:num>
  <w:num w:numId="30">
    <w:abstractNumId w:val="7"/>
  </w:num>
  <w:num w:numId="31">
    <w:abstractNumId w:val="5"/>
  </w:num>
  <w:num w:numId="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0"/>
  </w:num>
  <w:num w:numId="35">
    <w:abstractNumId w:val="29"/>
  </w:num>
  <w:num w:numId="36">
    <w:abstractNumId w:val="23"/>
  </w:num>
  <w:num w:numId="37">
    <w:abstractNumId w:val="15"/>
  </w:num>
  <w:num w:numId="38">
    <w:abstractNumId w:val="32"/>
  </w:num>
  <w:num w:numId="39">
    <w:abstractNumId w:val="31"/>
  </w:num>
  <w:num w:numId="40">
    <w:abstractNumId w:val="1"/>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45430"/>
    <w:rsid w:val="00051834"/>
    <w:rsid w:val="000520EE"/>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0A02"/>
    <w:rsid w:val="00092400"/>
    <w:rsid w:val="000B098D"/>
    <w:rsid w:val="000B2B77"/>
    <w:rsid w:val="000B386C"/>
    <w:rsid w:val="000C0617"/>
    <w:rsid w:val="000C1020"/>
    <w:rsid w:val="000C45E3"/>
    <w:rsid w:val="000C47C3"/>
    <w:rsid w:val="000C4F59"/>
    <w:rsid w:val="000C5861"/>
    <w:rsid w:val="000D278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238"/>
    <w:rsid w:val="00113977"/>
    <w:rsid w:val="00117B04"/>
    <w:rsid w:val="00121A94"/>
    <w:rsid w:val="001242E2"/>
    <w:rsid w:val="00130C28"/>
    <w:rsid w:val="001318AC"/>
    <w:rsid w:val="00133525"/>
    <w:rsid w:val="00133842"/>
    <w:rsid w:val="0014339E"/>
    <w:rsid w:val="00145431"/>
    <w:rsid w:val="00150414"/>
    <w:rsid w:val="001521E2"/>
    <w:rsid w:val="00161CE3"/>
    <w:rsid w:val="00165B84"/>
    <w:rsid w:val="001708E8"/>
    <w:rsid w:val="001744A9"/>
    <w:rsid w:val="001749AF"/>
    <w:rsid w:val="00174F84"/>
    <w:rsid w:val="00175931"/>
    <w:rsid w:val="001801B4"/>
    <w:rsid w:val="001855C6"/>
    <w:rsid w:val="00185D44"/>
    <w:rsid w:val="00187255"/>
    <w:rsid w:val="001917EB"/>
    <w:rsid w:val="00192677"/>
    <w:rsid w:val="001A053E"/>
    <w:rsid w:val="001A254D"/>
    <w:rsid w:val="001A3299"/>
    <w:rsid w:val="001A438D"/>
    <w:rsid w:val="001A4C42"/>
    <w:rsid w:val="001A7420"/>
    <w:rsid w:val="001B1364"/>
    <w:rsid w:val="001B40A8"/>
    <w:rsid w:val="001B6637"/>
    <w:rsid w:val="001C185F"/>
    <w:rsid w:val="001C21C3"/>
    <w:rsid w:val="001C3AA5"/>
    <w:rsid w:val="001C4C76"/>
    <w:rsid w:val="001C6725"/>
    <w:rsid w:val="001C6E15"/>
    <w:rsid w:val="001D02C2"/>
    <w:rsid w:val="001D7E21"/>
    <w:rsid w:val="001E18A9"/>
    <w:rsid w:val="001E6671"/>
    <w:rsid w:val="001E73A5"/>
    <w:rsid w:val="001F053E"/>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C0095"/>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742A"/>
    <w:rsid w:val="00341F88"/>
    <w:rsid w:val="003436B9"/>
    <w:rsid w:val="0034375D"/>
    <w:rsid w:val="00344318"/>
    <w:rsid w:val="00344B6F"/>
    <w:rsid w:val="00346396"/>
    <w:rsid w:val="00351F59"/>
    <w:rsid w:val="00352556"/>
    <w:rsid w:val="00352FC6"/>
    <w:rsid w:val="003532DA"/>
    <w:rsid w:val="00353BF0"/>
    <w:rsid w:val="0035462D"/>
    <w:rsid w:val="003554DE"/>
    <w:rsid w:val="00357113"/>
    <w:rsid w:val="00362714"/>
    <w:rsid w:val="00362A3E"/>
    <w:rsid w:val="003645B7"/>
    <w:rsid w:val="00364DFF"/>
    <w:rsid w:val="003663F8"/>
    <w:rsid w:val="0036707F"/>
    <w:rsid w:val="00372077"/>
    <w:rsid w:val="00374D16"/>
    <w:rsid w:val="00376406"/>
    <w:rsid w:val="003765B8"/>
    <w:rsid w:val="0037754A"/>
    <w:rsid w:val="003860F2"/>
    <w:rsid w:val="00386C8A"/>
    <w:rsid w:val="00386CF8"/>
    <w:rsid w:val="00387372"/>
    <w:rsid w:val="00390C39"/>
    <w:rsid w:val="00394014"/>
    <w:rsid w:val="003A0776"/>
    <w:rsid w:val="003A2B4E"/>
    <w:rsid w:val="003A34E6"/>
    <w:rsid w:val="003A5ED7"/>
    <w:rsid w:val="003A66A9"/>
    <w:rsid w:val="003A6D93"/>
    <w:rsid w:val="003A76B3"/>
    <w:rsid w:val="003B6E75"/>
    <w:rsid w:val="003C02F3"/>
    <w:rsid w:val="003C3971"/>
    <w:rsid w:val="003D25E4"/>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4A63"/>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0C46"/>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0774D"/>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87614"/>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064C"/>
    <w:rsid w:val="005E4962"/>
    <w:rsid w:val="005E4BB2"/>
    <w:rsid w:val="005E621D"/>
    <w:rsid w:val="005E7D45"/>
    <w:rsid w:val="005F1358"/>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13CE"/>
    <w:rsid w:val="006F2825"/>
    <w:rsid w:val="006F490D"/>
    <w:rsid w:val="006F5F7A"/>
    <w:rsid w:val="00700B79"/>
    <w:rsid w:val="00701116"/>
    <w:rsid w:val="00701FE6"/>
    <w:rsid w:val="00702588"/>
    <w:rsid w:val="007040BE"/>
    <w:rsid w:val="00705720"/>
    <w:rsid w:val="007059EA"/>
    <w:rsid w:val="00706485"/>
    <w:rsid w:val="007074FD"/>
    <w:rsid w:val="00712EC3"/>
    <w:rsid w:val="00713C44"/>
    <w:rsid w:val="00714A55"/>
    <w:rsid w:val="00717D7A"/>
    <w:rsid w:val="007207C1"/>
    <w:rsid w:val="00721B08"/>
    <w:rsid w:val="00724CA4"/>
    <w:rsid w:val="0073395A"/>
    <w:rsid w:val="00734A5B"/>
    <w:rsid w:val="00735C83"/>
    <w:rsid w:val="0074026F"/>
    <w:rsid w:val="00741727"/>
    <w:rsid w:val="007429F6"/>
    <w:rsid w:val="007448EB"/>
    <w:rsid w:val="00744E76"/>
    <w:rsid w:val="00745C28"/>
    <w:rsid w:val="00763E13"/>
    <w:rsid w:val="00770F84"/>
    <w:rsid w:val="0077178E"/>
    <w:rsid w:val="00774DA4"/>
    <w:rsid w:val="00776D8E"/>
    <w:rsid w:val="007803D4"/>
    <w:rsid w:val="00781F0F"/>
    <w:rsid w:val="00782147"/>
    <w:rsid w:val="007824E5"/>
    <w:rsid w:val="007846A7"/>
    <w:rsid w:val="00785676"/>
    <w:rsid w:val="00785FFF"/>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976"/>
    <w:rsid w:val="00802731"/>
    <w:rsid w:val="008028A4"/>
    <w:rsid w:val="00805F74"/>
    <w:rsid w:val="00806C6D"/>
    <w:rsid w:val="008176F4"/>
    <w:rsid w:val="00821AF2"/>
    <w:rsid w:val="00822172"/>
    <w:rsid w:val="008262E5"/>
    <w:rsid w:val="0083021D"/>
    <w:rsid w:val="00830747"/>
    <w:rsid w:val="0083100A"/>
    <w:rsid w:val="0083211D"/>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5FF4"/>
    <w:rsid w:val="00866EA8"/>
    <w:rsid w:val="00872A01"/>
    <w:rsid w:val="00873873"/>
    <w:rsid w:val="008740BA"/>
    <w:rsid w:val="008768CA"/>
    <w:rsid w:val="00880049"/>
    <w:rsid w:val="00881487"/>
    <w:rsid w:val="00882968"/>
    <w:rsid w:val="00883210"/>
    <w:rsid w:val="00883B04"/>
    <w:rsid w:val="00885334"/>
    <w:rsid w:val="008963F0"/>
    <w:rsid w:val="008A2E42"/>
    <w:rsid w:val="008A38F7"/>
    <w:rsid w:val="008A3E58"/>
    <w:rsid w:val="008A3F70"/>
    <w:rsid w:val="008A6A51"/>
    <w:rsid w:val="008A6EC5"/>
    <w:rsid w:val="008B2D49"/>
    <w:rsid w:val="008B3AE0"/>
    <w:rsid w:val="008B5666"/>
    <w:rsid w:val="008C3188"/>
    <w:rsid w:val="008C384C"/>
    <w:rsid w:val="008C596A"/>
    <w:rsid w:val="008C7A8A"/>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55946"/>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4CD6"/>
    <w:rsid w:val="00A164B4"/>
    <w:rsid w:val="00A21E84"/>
    <w:rsid w:val="00A245B2"/>
    <w:rsid w:val="00A25296"/>
    <w:rsid w:val="00A26956"/>
    <w:rsid w:val="00A26EBA"/>
    <w:rsid w:val="00A27486"/>
    <w:rsid w:val="00A305BB"/>
    <w:rsid w:val="00A343D7"/>
    <w:rsid w:val="00A35F38"/>
    <w:rsid w:val="00A362FD"/>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271FA"/>
    <w:rsid w:val="00B3024F"/>
    <w:rsid w:val="00B32211"/>
    <w:rsid w:val="00B339B8"/>
    <w:rsid w:val="00B413A1"/>
    <w:rsid w:val="00B4304E"/>
    <w:rsid w:val="00B47018"/>
    <w:rsid w:val="00B609D3"/>
    <w:rsid w:val="00B628A9"/>
    <w:rsid w:val="00B7151B"/>
    <w:rsid w:val="00B718EE"/>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06BD"/>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40F2"/>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59B"/>
    <w:rsid w:val="00CE7ECD"/>
    <w:rsid w:val="00CF0950"/>
    <w:rsid w:val="00CF2A0A"/>
    <w:rsid w:val="00CF630B"/>
    <w:rsid w:val="00CF662C"/>
    <w:rsid w:val="00CF77F0"/>
    <w:rsid w:val="00D0320D"/>
    <w:rsid w:val="00D07682"/>
    <w:rsid w:val="00D16ACE"/>
    <w:rsid w:val="00D17838"/>
    <w:rsid w:val="00D2092F"/>
    <w:rsid w:val="00D237CC"/>
    <w:rsid w:val="00D24993"/>
    <w:rsid w:val="00D2570D"/>
    <w:rsid w:val="00D2656A"/>
    <w:rsid w:val="00D33A9D"/>
    <w:rsid w:val="00D354FC"/>
    <w:rsid w:val="00D37210"/>
    <w:rsid w:val="00D40EB5"/>
    <w:rsid w:val="00D42ED2"/>
    <w:rsid w:val="00D45B19"/>
    <w:rsid w:val="00D45EA7"/>
    <w:rsid w:val="00D46B4A"/>
    <w:rsid w:val="00D47056"/>
    <w:rsid w:val="00D50BDF"/>
    <w:rsid w:val="00D52815"/>
    <w:rsid w:val="00D53E8B"/>
    <w:rsid w:val="00D53FA6"/>
    <w:rsid w:val="00D5548E"/>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2031"/>
    <w:rsid w:val="00D8371F"/>
    <w:rsid w:val="00D84DF3"/>
    <w:rsid w:val="00D87E00"/>
    <w:rsid w:val="00D9134D"/>
    <w:rsid w:val="00D92565"/>
    <w:rsid w:val="00D935EE"/>
    <w:rsid w:val="00D95FCF"/>
    <w:rsid w:val="00D967A1"/>
    <w:rsid w:val="00D97181"/>
    <w:rsid w:val="00DA0403"/>
    <w:rsid w:val="00DA5D05"/>
    <w:rsid w:val="00DA6477"/>
    <w:rsid w:val="00DA7A03"/>
    <w:rsid w:val="00DB1818"/>
    <w:rsid w:val="00DB354C"/>
    <w:rsid w:val="00DB362E"/>
    <w:rsid w:val="00DB5210"/>
    <w:rsid w:val="00DB7899"/>
    <w:rsid w:val="00DC1B17"/>
    <w:rsid w:val="00DC1BDE"/>
    <w:rsid w:val="00DC309B"/>
    <w:rsid w:val="00DC42BE"/>
    <w:rsid w:val="00DC4DA2"/>
    <w:rsid w:val="00DC61F1"/>
    <w:rsid w:val="00DD4C17"/>
    <w:rsid w:val="00DD4D71"/>
    <w:rsid w:val="00DD5AD3"/>
    <w:rsid w:val="00DD74A5"/>
    <w:rsid w:val="00DE13B7"/>
    <w:rsid w:val="00DF1837"/>
    <w:rsid w:val="00DF2B1F"/>
    <w:rsid w:val="00DF62CD"/>
    <w:rsid w:val="00DF769E"/>
    <w:rsid w:val="00E04A4C"/>
    <w:rsid w:val="00E06B2D"/>
    <w:rsid w:val="00E10564"/>
    <w:rsid w:val="00E16509"/>
    <w:rsid w:val="00E21EC2"/>
    <w:rsid w:val="00E27B82"/>
    <w:rsid w:val="00E3391E"/>
    <w:rsid w:val="00E37004"/>
    <w:rsid w:val="00E378FD"/>
    <w:rsid w:val="00E40FE5"/>
    <w:rsid w:val="00E44582"/>
    <w:rsid w:val="00E47839"/>
    <w:rsid w:val="00E626BD"/>
    <w:rsid w:val="00E62A95"/>
    <w:rsid w:val="00E77340"/>
    <w:rsid w:val="00E77345"/>
    <w:rsid w:val="00E77645"/>
    <w:rsid w:val="00E77762"/>
    <w:rsid w:val="00E81DD9"/>
    <w:rsid w:val="00E82166"/>
    <w:rsid w:val="00E8219B"/>
    <w:rsid w:val="00E833C6"/>
    <w:rsid w:val="00E86CA9"/>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53BF"/>
    <w:rsid w:val="00F2066A"/>
    <w:rsid w:val="00F22EC7"/>
    <w:rsid w:val="00F231F2"/>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04DF"/>
    <w:rsid w:val="00F92D89"/>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596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rsid w:val="008C59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C596A"/>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rsid w:val="008C596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rsid w:val="008C596A"/>
    <w:pPr>
      <w:ind w:left="1418" w:hanging="1418"/>
      <w:outlineLvl w:val="3"/>
    </w:pPr>
    <w:rPr>
      <w:sz w:val="24"/>
    </w:rPr>
  </w:style>
  <w:style w:type="paragraph" w:styleId="5">
    <w:name w:val="heading 5"/>
    <w:basedOn w:val="4"/>
    <w:next w:val="a0"/>
    <w:link w:val="5Char"/>
    <w:qFormat/>
    <w:rsid w:val="008C596A"/>
    <w:pPr>
      <w:ind w:left="1701" w:hanging="1701"/>
      <w:outlineLvl w:val="4"/>
    </w:pPr>
    <w:rPr>
      <w:sz w:val="22"/>
    </w:rPr>
  </w:style>
  <w:style w:type="paragraph" w:styleId="6">
    <w:name w:val="heading 6"/>
    <w:basedOn w:val="H6"/>
    <w:next w:val="a0"/>
    <w:link w:val="6Char"/>
    <w:qFormat/>
    <w:rsid w:val="008C596A"/>
    <w:pPr>
      <w:outlineLvl w:val="5"/>
    </w:pPr>
  </w:style>
  <w:style w:type="paragraph" w:styleId="7">
    <w:name w:val="heading 7"/>
    <w:basedOn w:val="H6"/>
    <w:next w:val="a0"/>
    <w:qFormat/>
    <w:rsid w:val="008C596A"/>
    <w:pPr>
      <w:outlineLvl w:val="6"/>
    </w:pPr>
  </w:style>
  <w:style w:type="paragraph" w:styleId="8">
    <w:name w:val="heading 8"/>
    <w:basedOn w:val="1"/>
    <w:next w:val="a0"/>
    <w:link w:val="8Char"/>
    <w:qFormat/>
    <w:rsid w:val="008C596A"/>
    <w:pPr>
      <w:ind w:left="0" w:firstLine="0"/>
      <w:outlineLvl w:val="7"/>
    </w:pPr>
  </w:style>
  <w:style w:type="paragraph" w:styleId="9">
    <w:name w:val="heading 9"/>
    <w:basedOn w:val="8"/>
    <w:next w:val="a0"/>
    <w:link w:val="9Char"/>
    <w:qFormat/>
    <w:rsid w:val="008C596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eastAsia="宋体" w:hAnsi="Arial"/>
      <w:sz w:val="32"/>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rsid w:val="00262AE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eastAsia="宋体" w:hAnsi="Arial"/>
      <w:sz w:val="24"/>
    </w:rPr>
  </w:style>
  <w:style w:type="character" w:customStyle="1" w:styleId="5Char">
    <w:name w:val="标题 5 Char"/>
    <w:link w:val="5"/>
    <w:rsid w:val="00262AE6"/>
    <w:rPr>
      <w:rFonts w:ascii="Arial" w:eastAsia="宋体" w:hAnsi="Arial"/>
      <w:sz w:val="22"/>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rsid w:val="00262AE6"/>
    <w:rPr>
      <w:rFonts w:ascii="Arial" w:eastAsia="宋体" w:hAnsi="Arial"/>
    </w:rPr>
  </w:style>
  <w:style w:type="character" w:customStyle="1" w:styleId="8Char">
    <w:name w:val="标题 8 Char"/>
    <w:link w:val="8"/>
    <w:rsid w:val="00262AE6"/>
    <w:rPr>
      <w:rFonts w:ascii="Arial" w:eastAsia="宋体" w:hAnsi="Arial"/>
      <w:sz w:val="36"/>
    </w:rPr>
  </w:style>
  <w:style w:type="character" w:customStyle="1" w:styleId="9Char">
    <w:name w:val="标题 9 Char"/>
    <w:link w:val="9"/>
    <w:rsid w:val="00262AE6"/>
    <w:rPr>
      <w:rFonts w:ascii="Arial" w:eastAsia="宋体" w:hAnsi="Arial"/>
      <w:sz w:val="36"/>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character" w:customStyle="1" w:styleId="B1Char">
    <w:name w:val="B1 Char"/>
    <w:link w:val="B1"/>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b/>
      <w:i/>
      <w:sz w:val="26"/>
    </w:rPr>
  </w:style>
  <w:style w:type="paragraph" w:customStyle="1" w:styleId="INDENT1">
    <w:name w:val="INDENT1"/>
    <w:basedOn w:val="a0"/>
    <w:rsid w:val="00262AE6"/>
    <w:pPr>
      <w:ind w:left="851"/>
    </w:pPr>
  </w:style>
  <w:style w:type="paragraph" w:customStyle="1" w:styleId="INDENT2">
    <w:name w:val="INDENT2"/>
    <w:basedOn w:val="a0"/>
    <w:rsid w:val="00262AE6"/>
    <w:pPr>
      <w:ind w:left="1135" w:hanging="284"/>
    </w:pPr>
  </w:style>
  <w:style w:type="paragraph" w:customStyle="1" w:styleId="INDENT3">
    <w:name w:val="INDENT3"/>
    <w:basedOn w:val="a0"/>
    <w:rsid w:val="00262AE6"/>
    <w:pPr>
      <w:ind w:left="1701" w:hanging="567"/>
    </w:p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62AE6"/>
    <w:pPr>
      <w:keepNext/>
      <w:keepLines/>
    </w:pPr>
    <w:rPr>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62AE6"/>
    <w:pPr>
      <w:keepNext/>
      <w:keepLines/>
      <w:spacing w:before="240"/>
      <w:ind w:left="1418"/>
    </w:pPr>
    <w:rPr>
      <w:rFonts w:ascii="Arial"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uiPriority w:val="35"/>
    <w:semiHidden/>
    <w:unhideWhenUsed/>
    <w:qFormat/>
    <w:rsid w:val="00262AE6"/>
    <w:rPr>
      <w:rFonts w:asciiTheme="majorHAnsi" w:eastAsia="黑体" w:hAnsiTheme="majorHAnsi" w:cstheme="majorBidi"/>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uiPriority w:val="35"/>
    <w:semiHidden/>
    <w:rsid w:val="00262AE6"/>
    <w:rPr>
      <w:rFonts w:asciiTheme="majorHAnsi" w:eastAsia="黑体" w:hAnsiTheme="majorHAnsi" w:cstheme="majorBidi"/>
    </w:rPr>
  </w:style>
  <w:style w:type="paragraph" w:styleId="af5">
    <w:name w:val="Document Map"/>
    <w:basedOn w:val="a0"/>
    <w:link w:val="Char6"/>
    <w:rsid w:val="00262AE6"/>
    <w:pPr>
      <w:shd w:val="clear" w:color="auto" w:fill="000080"/>
    </w:pPr>
    <w:rPr>
      <w:rFonts w:ascii="Tahoma"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rsid w:val="00262AE6"/>
  </w:style>
  <w:style w:type="character" w:customStyle="1" w:styleId="Char8">
    <w:name w:val="正文文本 Char"/>
    <w:aliases w:val="bt Char"/>
    <w:basedOn w:val="a1"/>
    <w:link w:val="af7"/>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rsid w:val="00262AE6"/>
    <w:pPr>
      <w:widowControl w:val="0"/>
      <w:jc w:val="both"/>
    </w:pPr>
    <w:rPr>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rsid w:val="00262AE6"/>
    <w:rPr>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rsid w:val="00262AE6"/>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spacing w:before="120" w:after="120"/>
    </w:pPr>
    <w:rPr>
      <w:noProof/>
      <w:sz w:val="24"/>
      <w:szCs w:val="24"/>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link w:val="Chara"/>
    <w:uiPriority w:val="34"/>
    <w:qFormat/>
    <w:rsid w:val="00262AE6"/>
    <w:pPr>
      <w:ind w:firstLineChars="200" w:firstLine="420"/>
    </w:pPr>
  </w:style>
  <w:style w:type="paragraph" w:customStyle="1" w:styleId="BodyBest">
    <w:name w:val="BodyBest"/>
    <w:basedOn w:val="a0"/>
    <w:link w:val="BodyBestChar"/>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locked/>
    <w:rsid w:val="00262AE6"/>
    <w:rPr>
      <w:lang w:val="x-none" w:eastAsia="en-US"/>
    </w:rPr>
  </w:style>
  <w:style w:type="paragraph" w:customStyle="1" w:styleId="NoSpacing1">
    <w:name w:val="No Spacing1"/>
    <w:uiPriority w:val="1"/>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spacing w:before="60"/>
      <w:jc w:val="center"/>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uiPriority w:val="20"/>
    <w:qFormat/>
    <w:rsid w:val="00FB4E42"/>
    <w:rPr>
      <w:i/>
      <w:iCs/>
    </w:rPr>
  </w:style>
  <w:style w:type="character" w:styleId="afd">
    <w:name w:val="Intense Emphasis"/>
    <w:basedOn w:val="a1"/>
    <w:uiPriority w:val="21"/>
    <w:qFormat/>
    <w:rsid w:val="00FB4E42"/>
    <w:rPr>
      <w:i/>
      <w:iCs/>
      <w:color w:val="4472C4" w:themeColor="accent1"/>
    </w:rPr>
  </w:style>
  <w:style w:type="paragraph" w:customStyle="1" w:styleId="References">
    <w:name w:val="References"/>
    <w:basedOn w:val="a0"/>
    <w:next w:val="a0"/>
    <w:rsid w:val="00FB4E42"/>
    <w:pPr>
      <w:numPr>
        <w:numId w:val="6"/>
      </w:numPr>
      <w:snapToGrid w:val="0"/>
      <w:spacing w:after="60"/>
    </w:pPr>
    <w:rPr>
      <w:szCs w:val="16"/>
      <w:lang w:val="en-US"/>
    </w:rPr>
  </w:style>
  <w:style w:type="paragraph" w:customStyle="1" w:styleId="enumlev1">
    <w:name w:val="enumlev1"/>
    <w:basedOn w:val="a0"/>
    <w:rsid w:val="00FB4E4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fe"/>
    <w:rsid w:val="00FB4E42"/>
    <w:pPr>
      <w:keepNext/>
      <w:keepLines/>
      <w:spacing w:after="180"/>
      <w:ind w:left="0"/>
      <w:jc w:val="center"/>
    </w:pPr>
    <w:rPr>
      <w:rFonts w:eastAsia="Times New Roman"/>
      <w:snapToGrid w:val="0"/>
      <w:kern w:val="2"/>
    </w:rPr>
  </w:style>
  <w:style w:type="paragraph" w:styleId="afe">
    <w:name w:val="Body Text Indent"/>
    <w:basedOn w:val="a0"/>
    <w:link w:val="Charb"/>
    <w:rsid w:val="00FB4E42"/>
    <w:pPr>
      <w:spacing w:after="120"/>
      <w:ind w:left="360"/>
    </w:pPr>
  </w:style>
  <w:style w:type="character" w:customStyle="1" w:styleId="Charb">
    <w:name w:val="正文文本缩进 Char"/>
    <w:basedOn w:val="a1"/>
    <w:link w:val="afe"/>
    <w:rsid w:val="00FB4E42"/>
    <w:rPr>
      <w:rFonts w:eastAsia="宋体"/>
      <w:lang w:eastAsia="en-US"/>
    </w:rPr>
  </w:style>
  <w:style w:type="paragraph" w:customStyle="1" w:styleId="ECCBulletsLv1">
    <w:name w:val="ECC Bullets Lv1"/>
    <w:basedOn w:val="a0"/>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rsid w:val="00FB4E42"/>
    <w:rPr>
      <w:b/>
      <w:bCs/>
    </w:rPr>
  </w:style>
  <w:style w:type="paragraph" w:customStyle="1" w:styleId="Restitle">
    <w:name w:val="Res_title"/>
    <w:basedOn w:val="a0"/>
    <w:next w:val="a0"/>
    <w:link w:val="RestitleChar"/>
    <w:rsid w:val="00FB4E42"/>
    <w:pPr>
      <w:keepNext/>
      <w:keepLines/>
      <w:tabs>
        <w:tab w:val="left" w:pos="567"/>
      </w:tabs>
      <w:spacing w:before="160" w:after="120"/>
      <w:jc w:val="center"/>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spacing w:before="360" w:after="0"/>
      <w:jc w:val="both"/>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spacing w:before="100" w:after="0"/>
      <w:jc w:val="center"/>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spacing w:before="160" w:after="0"/>
      <w:ind w:left="567"/>
      <w:jc w:val="both"/>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p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locked/>
    <w:rsid w:val="005F295C"/>
    <w:rPr>
      <w:rFonts w:ascii="Courier New" w:hAnsi="Courier New"/>
      <w:noProof/>
      <w:sz w:val="16"/>
      <w:lang w:eastAsia="en-US"/>
    </w:rPr>
  </w:style>
  <w:style w:type="character" w:styleId="aff">
    <w:name w:val="Subtle Emphasis"/>
    <w:basedOn w:val="a1"/>
    <w:uiPriority w:val="19"/>
    <w:qFormat/>
    <w:rsid w:val="008C596A"/>
    <w:rPr>
      <w:i/>
      <w:iCs/>
      <w:color w:val="404040" w:themeColor="text1" w:themeTint="BF"/>
    </w:rPr>
  </w:style>
  <w:style w:type="character" w:customStyle="1" w:styleId="Chara">
    <w:name w:val="列出段落 Char"/>
    <w:aliases w:val="R4_bullets Char1,- Bullets Char1,?? ?? Char1,????? Char1,???? Char1,リスト段落 Char1,Lista1 Char1,列出段落1 Char1,中等深浅网格 1 - 着色 21 Char1,列表段落 Char1,列表段落1 Char1,—ño’i—Ž Char1,¥¡¡¡¡ì¬º¥¹¥È¶ÎÂä Char1,ÁÐ³ö¶ÎÂä Char1,¥ê¥¹¥È¶ÎÂä Char1,Paragrafo elenco Char"/>
    <w:link w:val="af9"/>
    <w:uiPriority w:val="34"/>
    <w:qFormat/>
    <w:locked/>
    <w:rsid w:val="00D8371F"/>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78169156">
      <w:bodyDiv w:val="1"/>
      <w:marLeft w:val="0"/>
      <w:marRight w:val="0"/>
      <w:marTop w:val="0"/>
      <w:marBottom w:val="0"/>
      <w:divBdr>
        <w:top w:val="none" w:sz="0" w:space="0" w:color="auto"/>
        <w:left w:val="none" w:sz="0" w:space="0" w:color="auto"/>
        <w:bottom w:val="none" w:sz="0" w:space="0" w:color="auto"/>
        <w:right w:val="none" w:sz="0" w:space="0" w:color="auto"/>
      </w:divBdr>
      <w:divsChild>
        <w:div w:id="1486704394">
          <w:marLeft w:val="274"/>
          <w:marRight w:val="0"/>
          <w:marTop w:val="0"/>
          <w:marBottom w:val="0"/>
          <w:divBdr>
            <w:top w:val="none" w:sz="0" w:space="0" w:color="auto"/>
            <w:left w:val="none" w:sz="0" w:space="0" w:color="auto"/>
            <w:bottom w:val="none" w:sz="0" w:space="0" w:color="auto"/>
            <w:right w:val="none" w:sz="0" w:space="0" w:color="auto"/>
          </w:divBdr>
        </w:div>
        <w:div w:id="1165630052">
          <w:marLeft w:val="994"/>
          <w:marRight w:val="0"/>
          <w:marTop w:val="0"/>
          <w:marBottom w:val="0"/>
          <w:divBdr>
            <w:top w:val="none" w:sz="0" w:space="0" w:color="auto"/>
            <w:left w:val="none" w:sz="0" w:space="0" w:color="auto"/>
            <w:bottom w:val="none" w:sz="0" w:space="0" w:color="auto"/>
            <w:right w:val="none" w:sz="0" w:space="0" w:color="auto"/>
          </w:divBdr>
        </w:div>
        <w:div w:id="1917788674">
          <w:marLeft w:val="274"/>
          <w:marRight w:val="0"/>
          <w:marTop w:val="0"/>
          <w:marBottom w:val="0"/>
          <w:divBdr>
            <w:top w:val="none" w:sz="0" w:space="0" w:color="auto"/>
            <w:left w:val="none" w:sz="0" w:space="0" w:color="auto"/>
            <w:bottom w:val="none" w:sz="0" w:space="0" w:color="auto"/>
            <w:right w:val="none" w:sz="0" w:space="0" w:color="auto"/>
          </w:divBdr>
        </w:div>
        <w:div w:id="1902866425">
          <w:marLeft w:val="994"/>
          <w:marRight w:val="0"/>
          <w:marTop w:val="0"/>
          <w:marBottom w:val="0"/>
          <w:divBdr>
            <w:top w:val="none" w:sz="0" w:space="0" w:color="auto"/>
            <w:left w:val="none" w:sz="0" w:space="0" w:color="auto"/>
            <w:bottom w:val="none" w:sz="0" w:space="0" w:color="auto"/>
            <w:right w:val="none" w:sz="0" w:space="0" w:color="auto"/>
          </w:divBdr>
        </w:div>
        <w:div w:id="1308900252">
          <w:marLeft w:val="1714"/>
          <w:marRight w:val="0"/>
          <w:marTop w:val="0"/>
          <w:marBottom w:val="0"/>
          <w:divBdr>
            <w:top w:val="none" w:sz="0" w:space="0" w:color="auto"/>
            <w:left w:val="none" w:sz="0" w:space="0" w:color="auto"/>
            <w:bottom w:val="none" w:sz="0" w:space="0" w:color="auto"/>
            <w:right w:val="none" w:sz="0" w:space="0" w:color="auto"/>
          </w:divBdr>
        </w:div>
        <w:div w:id="601956081">
          <w:marLeft w:val="1714"/>
          <w:marRight w:val="0"/>
          <w:marTop w:val="0"/>
          <w:marBottom w:val="0"/>
          <w:divBdr>
            <w:top w:val="none" w:sz="0" w:space="0" w:color="auto"/>
            <w:left w:val="none" w:sz="0" w:space="0" w:color="auto"/>
            <w:bottom w:val="none" w:sz="0" w:space="0" w:color="auto"/>
            <w:right w:val="none" w:sz="0" w:space="0" w:color="auto"/>
          </w:divBdr>
        </w:div>
        <w:div w:id="1502623181">
          <w:marLeft w:val="994"/>
          <w:marRight w:val="0"/>
          <w:marTop w:val="0"/>
          <w:marBottom w:val="0"/>
          <w:divBdr>
            <w:top w:val="none" w:sz="0" w:space="0" w:color="auto"/>
            <w:left w:val="none" w:sz="0" w:space="0" w:color="auto"/>
            <w:bottom w:val="none" w:sz="0" w:space="0" w:color="auto"/>
            <w:right w:val="none" w:sz="0" w:space="0" w:color="auto"/>
          </w:divBdr>
        </w:div>
        <w:div w:id="102576492">
          <w:marLeft w:val="994"/>
          <w:marRight w:val="0"/>
          <w:marTop w:val="0"/>
          <w:marBottom w:val="0"/>
          <w:divBdr>
            <w:top w:val="none" w:sz="0" w:space="0" w:color="auto"/>
            <w:left w:val="none" w:sz="0" w:space="0" w:color="auto"/>
            <w:bottom w:val="none" w:sz="0" w:space="0" w:color="auto"/>
            <w:right w:val="none" w:sz="0" w:space="0" w:color="auto"/>
          </w:divBdr>
        </w:div>
      </w:divsChild>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09814782">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64221317">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60372938">
      <w:bodyDiv w:val="1"/>
      <w:marLeft w:val="0"/>
      <w:marRight w:val="0"/>
      <w:marTop w:val="0"/>
      <w:marBottom w:val="0"/>
      <w:divBdr>
        <w:top w:val="none" w:sz="0" w:space="0" w:color="auto"/>
        <w:left w:val="none" w:sz="0" w:space="0" w:color="auto"/>
        <w:bottom w:val="none" w:sz="0" w:space="0" w:color="auto"/>
        <w:right w:val="none" w:sz="0" w:space="0" w:color="auto"/>
      </w:divBdr>
      <w:divsChild>
        <w:div w:id="411515365">
          <w:marLeft w:val="965"/>
          <w:marRight w:val="0"/>
          <w:marTop w:val="0"/>
          <w:marBottom w:val="0"/>
          <w:divBdr>
            <w:top w:val="none" w:sz="0" w:space="0" w:color="auto"/>
            <w:left w:val="none" w:sz="0" w:space="0" w:color="auto"/>
            <w:bottom w:val="none" w:sz="0" w:space="0" w:color="auto"/>
            <w:right w:val="none" w:sz="0" w:space="0" w:color="auto"/>
          </w:divBdr>
        </w:div>
      </w:divsChild>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44630389">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75725095">
      <w:bodyDiv w:val="1"/>
      <w:marLeft w:val="0"/>
      <w:marRight w:val="0"/>
      <w:marTop w:val="0"/>
      <w:marBottom w:val="0"/>
      <w:divBdr>
        <w:top w:val="none" w:sz="0" w:space="0" w:color="auto"/>
        <w:left w:val="none" w:sz="0" w:space="0" w:color="auto"/>
        <w:bottom w:val="none" w:sz="0" w:space="0" w:color="auto"/>
        <w:right w:val="none" w:sz="0" w:space="0" w:color="auto"/>
      </w:divBdr>
    </w:div>
    <w:div w:id="1194267845">
      <w:bodyDiv w:val="1"/>
      <w:marLeft w:val="0"/>
      <w:marRight w:val="0"/>
      <w:marTop w:val="0"/>
      <w:marBottom w:val="0"/>
      <w:divBdr>
        <w:top w:val="none" w:sz="0" w:space="0" w:color="auto"/>
        <w:left w:val="none" w:sz="0" w:space="0" w:color="auto"/>
        <w:bottom w:val="none" w:sz="0" w:space="0" w:color="auto"/>
        <w:right w:val="none" w:sz="0" w:space="0" w:color="auto"/>
      </w:divBdr>
      <w:divsChild>
        <w:div w:id="1682589189">
          <w:marLeft w:val="1642"/>
          <w:marRight w:val="0"/>
          <w:marTop w:val="0"/>
          <w:marBottom w:val="0"/>
          <w:divBdr>
            <w:top w:val="none" w:sz="0" w:space="0" w:color="auto"/>
            <w:left w:val="none" w:sz="0" w:space="0" w:color="auto"/>
            <w:bottom w:val="none" w:sz="0" w:space="0" w:color="auto"/>
            <w:right w:val="none" w:sz="0" w:space="0" w:color="auto"/>
          </w:divBdr>
        </w:div>
      </w:divsChild>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959924">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11485750">
      <w:bodyDiv w:val="1"/>
      <w:marLeft w:val="0"/>
      <w:marRight w:val="0"/>
      <w:marTop w:val="0"/>
      <w:marBottom w:val="0"/>
      <w:divBdr>
        <w:top w:val="none" w:sz="0" w:space="0" w:color="auto"/>
        <w:left w:val="none" w:sz="0" w:space="0" w:color="auto"/>
        <w:bottom w:val="none" w:sz="0" w:space="0" w:color="auto"/>
        <w:right w:val="none" w:sz="0" w:space="0" w:color="auto"/>
      </w:divBdr>
      <w:divsChild>
        <w:div w:id="1702898566">
          <w:marLeft w:val="1642"/>
          <w:marRight w:val="0"/>
          <w:marTop w:val="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658000561">
      <w:bodyDiv w:val="1"/>
      <w:marLeft w:val="0"/>
      <w:marRight w:val="0"/>
      <w:marTop w:val="0"/>
      <w:marBottom w:val="0"/>
      <w:divBdr>
        <w:top w:val="none" w:sz="0" w:space="0" w:color="auto"/>
        <w:left w:val="none" w:sz="0" w:space="0" w:color="auto"/>
        <w:bottom w:val="none" w:sz="0" w:space="0" w:color="auto"/>
        <w:right w:val="none" w:sz="0" w:space="0" w:color="auto"/>
      </w:divBdr>
      <w:divsChild>
        <w:div w:id="557201973">
          <w:marLeft w:val="274"/>
          <w:marRight w:val="0"/>
          <w:marTop w:val="0"/>
          <w:marBottom w:val="0"/>
          <w:divBdr>
            <w:top w:val="none" w:sz="0" w:space="0" w:color="auto"/>
            <w:left w:val="none" w:sz="0" w:space="0" w:color="auto"/>
            <w:bottom w:val="none" w:sz="0" w:space="0" w:color="auto"/>
            <w:right w:val="none" w:sz="0" w:space="0" w:color="auto"/>
          </w:divBdr>
        </w:div>
        <w:div w:id="227345676">
          <w:marLeft w:val="994"/>
          <w:marRight w:val="0"/>
          <w:marTop w:val="0"/>
          <w:marBottom w:val="0"/>
          <w:divBdr>
            <w:top w:val="none" w:sz="0" w:space="0" w:color="auto"/>
            <w:left w:val="none" w:sz="0" w:space="0" w:color="auto"/>
            <w:bottom w:val="none" w:sz="0" w:space="0" w:color="auto"/>
            <w:right w:val="none" w:sz="0" w:space="0" w:color="auto"/>
          </w:divBdr>
        </w:div>
        <w:div w:id="780301576">
          <w:marLeft w:val="1714"/>
          <w:marRight w:val="0"/>
          <w:marTop w:val="0"/>
          <w:marBottom w:val="0"/>
          <w:divBdr>
            <w:top w:val="none" w:sz="0" w:space="0" w:color="auto"/>
            <w:left w:val="none" w:sz="0" w:space="0" w:color="auto"/>
            <w:bottom w:val="none" w:sz="0" w:space="0" w:color="auto"/>
            <w:right w:val="none" w:sz="0" w:space="0" w:color="auto"/>
          </w:divBdr>
        </w:div>
        <w:div w:id="811025883">
          <w:marLeft w:val="1714"/>
          <w:marRight w:val="0"/>
          <w:marTop w:val="0"/>
          <w:marBottom w:val="0"/>
          <w:divBdr>
            <w:top w:val="none" w:sz="0" w:space="0" w:color="auto"/>
            <w:left w:val="none" w:sz="0" w:space="0" w:color="auto"/>
            <w:bottom w:val="none" w:sz="0" w:space="0" w:color="auto"/>
            <w:right w:val="none" w:sz="0" w:space="0" w:color="auto"/>
          </w:divBdr>
        </w:div>
        <w:div w:id="1945765788">
          <w:marLeft w:val="994"/>
          <w:marRight w:val="0"/>
          <w:marTop w:val="0"/>
          <w:marBottom w:val="0"/>
          <w:divBdr>
            <w:top w:val="none" w:sz="0" w:space="0" w:color="auto"/>
            <w:left w:val="none" w:sz="0" w:space="0" w:color="auto"/>
            <w:bottom w:val="none" w:sz="0" w:space="0" w:color="auto"/>
            <w:right w:val="none" w:sz="0" w:space="0" w:color="auto"/>
          </w:divBdr>
        </w:div>
      </w:divsChild>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766219863">
      <w:bodyDiv w:val="1"/>
      <w:marLeft w:val="0"/>
      <w:marRight w:val="0"/>
      <w:marTop w:val="0"/>
      <w:marBottom w:val="0"/>
      <w:divBdr>
        <w:top w:val="none" w:sz="0" w:space="0" w:color="auto"/>
        <w:left w:val="none" w:sz="0" w:space="0" w:color="auto"/>
        <w:bottom w:val="none" w:sz="0" w:space="0" w:color="auto"/>
        <w:right w:val="none" w:sz="0" w:space="0" w:color="auto"/>
      </w:divBdr>
    </w:div>
    <w:div w:id="1834447674">
      <w:bodyDiv w:val="1"/>
      <w:marLeft w:val="0"/>
      <w:marRight w:val="0"/>
      <w:marTop w:val="0"/>
      <w:marBottom w:val="0"/>
      <w:divBdr>
        <w:top w:val="none" w:sz="0" w:space="0" w:color="auto"/>
        <w:left w:val="none" w:sz="0" w:space="0" w:color="auto"/>
        <w:bottom w:val="none" w:sz="0" w:space="0" w:color="auto"/>
        <w:right w:val="none" w:sz="0" w:space="0" w:color="auto"/>
      </w:divBdr>
    </w:div>
    <w:div w:id="183718190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5639922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D944D-371D-49E9-BB3F-D542FB142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2565</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Liehai</cp:lastModifiedBy>
  <cp:revision>14</cp:revision>
  <cp:lastPrinted>2019-02-25T13:05:00Z</cp:lastPrinted>
  <dcterms:created xsi:type="dcterms:W3CDTF">2022-04-25T09:41:00Z</dcterms:created>
  <dcterms:modified xsi:type="dcterms:W3CDTF">2022-08-10T06:47:00Z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(3)EbM7BlCmb1PbzoeqbRmPaPhwnZZN0JACXBYY69DgljpIFqI1ZOkilI0xd7/lstzqTPcFkP0s
48qBlMNgaxqL7vhwZNL1maowpR0EVU0JZJebo7cNWcva3jfgJEoo0tBUIIW/4vwYzF2FzbX7
VIq8mtozhHNQZTUqT56iRemjscBHHByjaMyqJ0B82gzRmutFRubJbF5XPNwTQDjWgql3Etgc
O66PNYjJjkVPl4olSN</vt:lpwstr>
  </property>
  <property fmtid="{D5CDD505-2E9C-101B-9397-08002B2CF9AE}" pid="3" name="_2015_ms_pID_7253431">
    <vt:lpwstr>wHr5jZznH9gqT2jupUj8v/yhuZCUhaJSCYrZeCEqvI++y0vK5eEiY5
Df+khsDw5JKQdFjsK25gkrE/4JhQGW/ltho178r62NlcaSiz4I3dM0PvHarPx0uy+XQLdCLq
P280EHYCPhSeeW54RFWY7h2HEBvnrD1yIDTWfXv2mxpYzL6qEtx35DVI1Oiy70x0bYldVVAs
WQrxkruf8Vvrm22pznyGARKqE6DJM5SgvhAk</vt:lpwstr>
  </property>
  <property fmtid="{D5CDD505-2E9C-101B-9397-08002B2CF9AE}" pid="4" name="_2015_ms_pID_7253432">
    <vt:lpwstr>Sw==</vt:lpwstr>
  </property>
</Properties>
</file>